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1D" w:rsidRPr="004022D3" w:rsidRDefault="0008196B" w:rsidP="004022D3">
      <w:pPr>
        <w:rPr>
          <w:rFonts w:ascii="Tahoma" w:hAnsi="Tahoma" w:cs="Tahoma"/>
          <w:b/>
          <w:color w:val="808080"/>
          <w:sz w:val="20"/>
          <w:szCs w:val="20"/>
          <w:lang w:val="tr-TR"/>
        </w:rPr>
      </w:pPr>
      <w:r>
        <w:rPr>
          <w:noProof/>
          <w:lang w:val="tr-TR" w:eastAsia="tr-TR"/>
        </w:rPr>
        <w:drawing>
          <wp:anchor distT="0" distB="0" distL="114300" distR="114300" simplePos="0" relativeHeight="251659264" behindDoc="0" locked="0" layoutInCell="1" allowOverlap="1">
            <wp:simplePos x="0" y="0"/>
            <wp:positionH relativeFrom="column">
              <wp:posOffset>2809875</wp:posOffset>
            </wp:positionH>
            <wp:positionV relativeFrom="paragraph">
              <wp:posOffset>-343535</wp:posOffset>
            </wp:positionV>
            <wp:extent cx="3209925" cy="427355"/>
            <wp:effectExtent l="0" t="0" r="9525"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4022D3" w:rsidRDefault="004022D3" w:rsidP="00314A3D">
      <w:pPr>
        <w:tabs>
          <w:tab w:val="left" w:pos="3039"/>
          <w:tab w:val="left" w:pos="5970"/>
        </w:tabs>
        <w:spacing w:before="100" w:beforeAutospacing="1" w:after="100" w:afterAutospacing="1"/>
        <w:ind w:left="108"/>
        <w:jc w:val="both"/>
        <w:rPr>
          <w:sz w:val="22"/>
          <w:szCs w:val="22"/>
        </w:rPr>
      </w:pPr>
    </w:p>
    <w:p w:rsidR="00314A3D" w:rsidRPr="004022D3" w:rsidRDefault="00314A3D" w:rsidP="004022D3">
      <w:pPr>
        <w:tabs>
          <w:tab w:val="left" w:pos="3039"/>
          <w:tab w:val="left" w:pos="5970"/>
        </w:tabs>
        <w:spacing w:before="100" w:beforeAutospacing="1" w:after="100" w:afterAutospacing="1"/>
        <w:ind w:left="108"/>
        <w:jc w:val="both"/>
        <w:rPr>
          <w:sz w:val="22"/>
          <w:szCs w:val="22"/>
        </w:rPr>
      </w:pPr>
      <w:r w:rsidRPr="00314A3D">
        <w:rPr>
          <w:sz w:val="22"/>
          <w:szCs w:val="22"/>
        </w:rPr>
        <w:t>26 Ekim 2014</w:t>
      </w:r>
      <w:proofErr w:type="gramStart"/>
      <w:r w:rsidRPr="00314A3D">
        <w:rPr>
          <w:sz w:val="22"/>
          <w:szCs w:val="22"/>
        </w:rPr>
        <w:t>  PAZAR</w:t>
      </w:r>
      <w:proofErr w:type="gramEnd"/>
      <w:r w:rsidRPr="00314A3D">
        <w:rPr>
          <w:sz w:val="22"/>
          <w:szCs w:val="22"/>
        </w:rPr>
        <w:tab/>
      </w:r>
      <w:r w:rsidRPr="00314A3D">
        <w:rPr>
          <w:b/>
          <w:bCs/>
          <w:sz w:val="22"/>
          <w:szCs w:val="22"/>
        </w:rPr>
        <w:t>Resmî Gazete</w:t>
      </w:r>
      <w:r w:rsidRPr="00314A3D">
        <w:rPr>
          <w:sz w:val="22"/>
          <w:szCs w:val="22"/>
        </w:rPr>
        <w:tab/>
        <w:t>Sayı : 29157</w:t>
      </w:r>
    </w:p>
    <w:p w:rsidR="00314A3D" w:rsidRPr="00314A3D" w:rsidRDefault="00314A3D" w:rsidP="00314A3D">
      <w:pPr>
        <w:spacing w:before="100" w:beforeAutospacing="1" w:after="100" w:afterAutospacing="1" w:line="240" w:lineRule="atLeast"/>
        <w:jc w:val="both"/>
        <w:rPr>
          <w:sz w:val="22"/>
          <w:szCs w:val="22"/>
        </w:rPr>
      </w:pPr>
      <w:r w:rsidRPr="00314A3D">
        <w:rPr>
          <w:sz w:val="22"/>
          <w:szCs w:val="22"/>
        </w:rPr>
        <w:t>Maliye Bakanlığından:</w:t>
      </w:r>
    </w:p>
    <w:p w:rsidR="00314A3D" w:rsidRPr="00314A3D" w:rsidRDefault="00314A3D" w:rsidP="00314A3D">
      <w:pPr>
        <w:spacing w:before="100" w:beforeAutospacing="1" w:after="100" w:afterAutospacing="1" w:line="240" w:lineRule="atLeast"/>
        <w:jc w:val="both"/>
        <w:rPr>
          <w:b/>
          <w:sz w:val="22"/>
          <w:szCs w:val="22"/>
        </w:rPr>
      </w:pPr>
      <w:r w:rsidRPr="00314A3D">
        <w:rPr>
          <w:b/>
          <w:sz w:val="22"/>
          <w:szCs w:val="22"/>
        </w:rPr>
        <w:t>ÖZEL TÜKETİM VERGİSİ GENEL TEBLİĞİ</w:t>
      </w:r>
    </w:p>
    <w:p w:rsidR="00314A3D" w:rsidRPr="00314A3D" w:rsidRDefault="00314A3D" w:rsidP="00314A3D">
      <w:pPr>
        <w:spacing w:before="100" w:beforeAutospacing="1" w:after="100" w:afterAutospacing="1" w:line="240" w:lineRule="atLeast"/>
        <w:jc w:val="both"/>
        <w:rPr>
          <w:b/>
          <w:sz w:val="22"/>
          <w:szCs w:val="22"/>
        </w:rPr>
      </w:pPr>
      <w:r w:rsidRPr="00314A3D">
        <w:rPr>
          <w:b/>
          <w:sz w:val="22"/>
          <w:szCs w:val="22"/>
        </w:rPr>
        <w:t>(SERİ NO: 36)</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30/9/2014 tarihli ve 2014/6881 sayılı Bakanlar Kurulu Kararı ile yürürlüğe konulan Kararın 1 inci maddesinde 4760 sayılı Özel Tüketim Vergisi Kanununa ekli (I) sayılı listenin (A) cetvelindeki vergi tutarı uygulanarak teslim edilen 2711.19.00.00.11 G.T.İ.P. numaralı “Sıvılaştırılmış Petrol Gazı (L.P.G.) Diğerleri” isimli malın vergi tutarının, bu malın imalatçılar tarafından aerosol üretiminde kullanılmış olduğunun tespiti halinde, sıfır olarak uygulanacağına yönelik düzenleme yapılmıştır.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Söz konusu Kararnamede düzenlenen indirimli vergi uygulamasından kaynaklanan vergi farklılaştırmasınınaerosol üreticilerine iade yöntemi ile uygulanması, Özel Tüketim Vergisi Kanununun 12 nci maddesinin (4) numaralı fıkrasında Maliye Bakanlığına verilen yetkiye istinaden uygun görülmüş olup bu düzenlemenin uygulama usul ve esasları aşağıda belirlenmiştir.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1. TANIMLAR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Bu Tebliğin uygulanmasında;</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Aerosol:</w:t>
      </w:r>
      <w:r w:rsidRPr="00314A3D">
        <w:rPr>
          <w:sz w:val="22"/>
          <w:szCs w:val="22"/>
        </w:rPr>
        <w:t> 30/11/2000 tarihli ve 24246 sayılı Resmî Gazete’de yayımlanan Aerosol Kaplar Yönetmeliğinde tanı</w:t>
      </w:r>
      <w:r w:rsidR="004022D3">
        <w:rPr>
          <w:sz w:val="22"/>
          <w:szCs w:val="22"/>
        </w:rPr>
        <w:t xml:space="preserve">mlı kaplar içerisinde yer </w:t>
      </w:r>
      <w:proofErr w:type="gramStart"/>
      <w:r w:rsidR="004022D3">
        <w:rPr>
          <w:sz w:val="22"/>
          <w:szCs w:val="22"/>
        </w:rPr>
        <w:t>alan</w:t>
      </w:r>
      <w:proofErr w:type="gramEnd"/>
      <w:r w:rsidR="004022D3">
        <w:rPr>
          <w:sz w:val="22"/>
          <w:szCs w:val="22"/>
        </w:rPr>
        <w:t xml:space="preserve"> </w:t>
      </w:r>
      <w:r w:rsidRPr="00314A3D">
        <w:rPr>
          <w:sz w:val="22"/>
          <w:szCs w:val="22"/>
        </w:rPr>
        <w:t>e itici gaz marifetiyle basınç altında tutulan sıvılaştırılmış püskürtmeli gazlı ürünleri,</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Dağıtıcı:</w:t>
      </w:r>
      <w:r w:rsidRPr="00314A3D">
        <w:rPr>
          <w:sz w:val="22"/>
          <w:szCs w:val="22"/>
        </w:rPr>
        <w:t> “Dağıtım İzin Belgesi”ni haiz, 2/3/2005 tarihli ve 5307 sayılı Sıvılaştırılmış Petrol Gazları Piyasası Kanunu ve Elektrik Piyasası Kanununda Değişiklik Yapılmasına Dair Kanunda tanımlanan “Dağıtıcı” yı,</w:t>
      </w:r>
    </w:p>
    <w:p w:rsidR="006560A3" w:rsidRDefault="00314A3D" w:rsidP="00314A3D">
      <w:pPr>
        <w:spacing w:before="100" w:beforeAutospacing="1" w:after="100" w:afterAutospacing="1" w:line="240" w:lineRule="atLeast"/>
        <w:ind w:firstLine="566"/>
        <w:jc w:val="both"/>
        <w:rPr>
          <w:sz w:val="22"/>
          <w:szCs w:val="22"/>
        </w:rPr>
      </w:pPr>
      <w:r w:rsidRPr="00314A3D">
        <w:rPr>
          <w:b/>
          <w:bCs/>
          <w:sz w:val="22"/>
          <w:szCs w:val="22"/>
        </w:rPr>
        <w:t>Dağıtım İzin Belgesi:</w:t>
      </w:r>
      <w:r w:rsidRPr="00314A3D">
        <w:rPr>
          <w:sz w:val="22"/>
          <w:szCs w:val="22"/>
        </w:rPr>
        <w:t xml:space="preserve"> Kararname kapsamında aerosol üretiminde kullanılmaya uygun standardize edilmişL.P.G. yi aerosol üreticilerine satmak isteyen dağıtıcılara, ÖTV mükellefiyetinin bulunduğu yer vergi dairesi müdürlüğünün bağlı olduğu Vergi Dairesi Başkanlığı/Defterdarlık tarafından verilen, üç takvim yılı için düzenlenen, üzerinde dağıtıcıya ilişkin bilgilerin yer aldığı ve bir örneği bu Tebliğin ekinde </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EK</w:t>
      </w:r>
      <w:proofErr w:type="gramStart"/>
      <w:r w:rsidRPr="00314A3D">
        <w:rPr>
          <w:sz w:val="22"/>
          <w:szCs w:val="22"/>
        </w:rPr>
        <w:t>:1</w:t>
      </w:r>
      <w:proofErr w:type="gramEnd"/>
      <w:r w:rsidRPr="00314A3D">
        <w:rPr>
          <w:sz w:val="22"/>
          <w:szCs w:val="22"/>
        </w:rPr>
        <w:t xml:space="preserve"> olarak yer alan izin belgesini,</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Kararname:</w:t>
      </w:r>
      <w:r w:rsidRPr="00314A3D">
        <w:rPr>
          <w:sz w:val="22"/>
          <w:szCs w:val="22"/>
        </w:rPr>
        <w:t> 30/9/2014 tarihli ve 2014/6881 sayılı Bakanlar Kurulu Kararı ile yürürlüğe konulan Kararı,</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L.P.G. Satın Alma İzin Belgesi:</w:t>
      </w:r>
      <w:r w:rsidRPr="00314A3D">
        <w:rPr>
          <w:sz w:val="22"/>
          <w:szCs w:val="22"/>
        </w:rPr>
        <w:t> Kararname kapsamında yalnızca aerosol üretiminde kullanılmaya uygun standardize edilmiş L.P.G. satın alacak veya ithal edecek olan üreticilere Gelir İdaresi Başkanlığının yetkili birimi tarafından verilen, her takvim yılı için düzenlenen ve bir örneği bu Tebliğin ekinde EK:2 olarak yer alan izin belgesini,</w:t>
      </w:r>
    </w:p>
    <w:p w:rsidR="005D741D" w:rsidRPr="00314A3D" w:rsidRDefault="00314A3D" w:rsidP="004022D3">
      <w:pPr>
        <w:spacing w:before="100" w:beforeAutospacing="1" w:after="100" w:afterAutospacing="1" w:line="240" w:lineRule="atLeast"/>
        <w:ind w:firstLine="566"/>
        <w:jc w:val="both"/>
        <w:rPr>
          <w:sz w:val="22"/>
          <w:szCs w:val="22"/>
        </w:rPr>
      </w:pPr>
      <w:r w:rsidRPr="00314A3D">
        <w:rPr>
          <w:b/>
          <w:bCs/>
          <w:sz w:val="22"/>
          <w:szCs w:val="22"/>
        </w:rPr>
        <w:t>Sıvılaştırılmış Petrol Gazı (L.P.G.):</w:t>
      </w:r>
      <w:r w:rsidRPr="00314A3D">
        <w:rPr>
          <w:sz w:val="22"/>
          <w:szCs w:val="22"/>
        </w:rPr>
        <w:t xml:space="preserve"> Özel Tüketim Vergisi Kanununa ekli (I) sayılı listenin (A) cetvelinde yer </w:t>
      </w:r>
      <w:proofErr w:type="gramStart"/>
      <w:r w:rsidRPr="00314A3D">
        <w:rPr>
          <w:sz w:val="22"/>
          <w:szCs w:val="22"/>
        </w:rPr>
        <w:t>alan</w:t>
      </w:r>
      <w:proofErr w:type="gramEnd"/>
      <w:r w:rsidRPr="00314A3D">
        <w:rPr>
          <w:sz w:val="22"/>
          <w:szCs w:val="22"/>
        </w:rPr>
        <w:t xml:space="preserve"> 2711.19.00.00.11 G.T.İ.P. numaralı ve aerosol üretiminde kullanılmaya uygun standardize edilmiş malı,</w:t>
      </w:r>
    </w:p>
    <w:p w:rsidR="00314A3D" w:rsidRPr="00314A3D" w:rsidRDefault="00314A3D" w:rsidP="004022D3">
      <w:pPr>
        <w:spacing w:before="100" w:beforeAutospacing="1" w:after="100" w:afterAutospacing="1" w:line="240" w:lineRule="atLeast"/>
        <w:ind w:firstLine="566"/>
        <w:jc w:val="both"/>
        <w:rPr>
          <w:sz w:val="22"/>
          <w:szCs w:val="22"/>
        </w:rPr>
      </w:pPr>
      <w:r w:rsidRPr="00314A3D">
        <w:rPr>
          <w:b/>
          <w:bCs/>
          <w:sz w:val="22"/>
          <w:szCs w:val="22"/>
        </w:rPr>
        <w:t>Üretici:</w:t>
      </w:r>
      <w:r w:rsidRPr="00314A3D">
        <w:rPr>
          <w:sz w:val="22"/>
          <w:szCs w:val="22"/>
        </w:rPr>
        <w:t> Aerosol üretmek üzere “L.P.G. Satın Alma İzin Belgesi”ni haiz gerçek veya tüzel kişileri</w:t>
      </w:r>
      <w:proofErr w:type="gramStart"/>
      <w:r w:rsidRPr="00314A3D">
        <w:rPr>
          <w:sz w:val="22"/>
          <w:szCs w:val="22"/>
        </w:rPr>
        <w:t>,ifade</w:t>
      </w:r>
      <w:proofErr w:type="gramEnd"/>
      <w:r w:rsidRPr="00314A3D">
        <w:rPr>
          <w:sz w:val="22"/>
          <w:szCs w:val="22"/>
        </w:rPr>
        <w:t> eder.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Yukarıdaki aerosol tanımında ifade edilen kaplar içerisinde yer almayan ürünler Kararname kapsamında aerosolüretimi olarak değerlendirilmez.</w:t>
      </w:r>
    </w:p>
    <w:p w:rsidR="004022D3" w:rsidRDefault="004022D3" w:rsidP="00314A3D">
      <w:pPr>
        <w:spacing w:before="100" w:beforeAutospacing="1" w:after="100" w:afterAutospacing="1" w:line="240" w:lineRule="atLeast"/>
        <w:ind w:firstLine="566"/>
        <w:jc w:val="both"/>
        <w:rPr>
          <w:b/>
          <w:bCs/>
          <w:sz w:val="22"/>
          <w:szCs w:val="22"/>
        </w:rPr>
      </w:pPr>
    </w:p>
    <w:p w:rsidR="004022D3" w:rsidRDefault="004022D3" w:rsidP="00314A3D">
      <w:pPr>
        <w:spacing w:before="100" w:beforeAutospacing="1" w:after="100" w:afterAutospacing="1" w:line="240" w:lineRule="atLeast"/>
        <w:ind w:firstLine="566"/>
        <w:jc w:val="both"/>
        <w:rPr>
          <w:b/>
          <w:bCs/>
          <w:sz w:val="22"/>
          <w:szCs w:val="22"/>
        </w:rPr>
      </w:pP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2. L.P.G. SATIN ALMA İZİN BELGESİ VERİLMESİ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Bu Tebliğin yayımı tarihinden itibaren Kararname kapsamında aerosol üretiminde kullanılmaya uygun standardize edilmiş L.P.G., yalnızca “L.P.G. Satın Alma İzin Belgesi”</w:t>
      </w:r>
      <w:proofErr w:type="gramStart"/>
      <w:r w:rsidRPr="00314A3D">
        <w:rPr>
          <w:sz w:val="22"/>
          <w:szCs w:val="22"/>
        </w:rPr>
        <w:t>ni</w:t>
      </w:r>
      <w:proofErr w:type="gramEnd"/>
      <w:r w:rsidRPr="00314A3D">
        <w:rPr>
          <w:sz w:val="22"/>
          <w:szCs w:val="22"/>
        </w:rPr>
        <w:t xml:space="preserve"> haiz üreticiler tarafından satın alınabilir veya ithal edilebilir.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2.1. Üreticilerin Müracaat Şartları ve Belge Talebi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Söz konusu belgeyi almak isteyen üreticilerin;</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Müracaat tarihinde vadesi geçtiği halde ödenmemiş herhangi bir vergi borcunun bulunmaması,</w:t>
      </w:r>
    </w:p>
    <w:p w:rsidR="00314A3D" w:rsidRPr="00314A3D" w:rsidRDefault="00314A3D" w:rsidP="004022D3">
      <w:pPr>
        <w:spacing w:before="100" w:beforeAutospacing="1" w:after="100" w:afterAutospacing="1" w:line="240" w:lineRule="atLeast"/>
        <w:ind w:firstLine="566"/>
        <w:jc w:val="both"/>
        <w:rPr>
          <w:sz w:val="22"/>
          <w:szCs w:val="22"/>
        </w:rPr>
      </w:pPr>
      <w:r w:rsidRPr="00314A3D">
        <w:rPr>
          <w:sz w:val="22"/>
          <w:szCs w:val="22"/>
        </w:rPr>
        <w:t>- Şahıs işletmelerinde işletme sahibinin, adi ortaklıklarda ortaklardan her birinin, diğer şirketlerde ise yönetim kurulu üyeleri ile şirket sermayesinin %10’undan fazlasına sahip olanların affa uğramış olsalar dahi, hırsızlık, güveni kötüye kullanma, dolandırıcılık, yalan tanıklık, yalan yere yemin, suç uydurma, iftira, irtikâp, rüşvet cürümlerinden biri dolayısıyla hapis cezasına veya 21/3/2007 tarihli ve 5607 sayılı Kaçakçılıkla Mücadele Kanunu ile 20/2/1930 tarihli ve 1567 sayılı Türk Parasının Kıymetini Koruma Hakkında Kanuna muhalefetten mahkum olmamaları, 12/4/1991 tarihli ve 3713 sayılı Terörle Mücadele Kanunu kapsamına giren suçlardan hükümlü bulunmamaları veya 4/1/1961 tarihli ve 213 sayılı Vergi Usul Kanununda yazılı kaçakçılık suçlarını işlememiş olmaları,</w:t>
      </w:r>
      <w:r w:rsidR="004022D3">
        <w:rPr>
          <w:sz w:val="22"/>
          <w:szCs w:val="22"/>
        </w:rPr>
        <w:t xml:space="preserve"> </w:t>
      </w:r>
      <w:r w:rsidRPr="00314A3D">
        <w:rPr>
          <w:sz w:val="22"/>
          <w:szCs w:val="22"/>
        </w:rPr>
        <w:t>gerekmektedir.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Bu şartları haiz üreticiler söz konusu izin belgesini alabilmek için, aşağıdaki belgelerin aslı ya da noter onaylı örneklerini ekleyecekleri bir dilekçe ile KDV yönünden bağlı oldukları vergi dairesine müracaat ederler.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Sanayi sicil belgesi,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Aerosol üretiminde hammadde olarak L.P.G. kullanıldığını belirtir kapasite raporu,</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İşletmenin aerosol üretimini gerçekleştirebileceğini gösterir resmi makamlar tarafından verilmiş belge (1 inci veya 2 nci Sınıf Gayrisıhhi Müessese Ruhsatı.)</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2.2. Vergi Dairesince Yapılacak İşlemler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İlgili vergi dairesi söz konusu müracaat üzerine;</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 Üreticinin müracaat tarihinde vadesi geçtiği halde ödenmemiş herhangi bir vergi borcunun bulunup bulunmadığı ile üreticinin müracaatına konu ve bu Tebliğin 2.1. </w:t>
      </w:r>
      <w:proofErr w:type="gramStart"/>
      <w:r w:rsidRPr="00314A3D">
        <w:rPr>
          <w:sz w:val="22"/>
          <w:szCs w:val="22"/>
        </w:rPr>
        <w:t>bölümünde</w:t>
      </w:r>
      <w:proofErr w:type="gramEnd"/>
      <w:r w:rsidRPr="00314A3D">
        <w:rPr>
          <w:sz w:val="22"/>
          <w:szCs w:val="22"/>
        </w:rPr>
        <w:t xml:space="preserve"> ifade edilen diğer hususlara ilişkin bilgi ve belgelerin kontrolünü yapar.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Yoklamaya yetkili bir memur vasıtasıyla, üreticinin sanayi sicil belgesine dayanak olan kapasite raporunu düzenleyen sanayi/ticaret odasından bir temsilciyle birlikte, mükellefin belirtmiş olduğu işyeri</w:t>
      </w:r>
      <w:r w:rsidR="0008196B">
        <w:rPr>
          <w:sz w:val="22"/>
          <w:szCs w:val="22"/>
        </w:rPr>
        <w:t xml:space="preserve"> </w:t>
      </w:r>
      <w:r w:rsidRPr="00314A3D">
        <w:rPr>
          <w:sz w:val="22"/>
          <w:szCs w:val="22"/>
        </w:rPr>
        <w:t>üretim) adresinde söz konusu imalatı gerçekleştirebilecek tesis, makine ve teçhizatın bulunup bulunmadığına dair tespit yaptırarak, bu durumun bir tutanağa bağlanmasını sağlar.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Bu kontrol ve tespitler sonucunda, gerekli şartların varlığı halinde ilgili vergi dairesi tarafından üreticiye “L.P.G.Satın Alma İzin Belgesi” verilir. Vergi daireleri verdikleri belgede üreticilere ilişkin olarak yer </w:t>
      </w:r>
      <w:proofErr w:type="gramStart"/>
      <w:r w:rsidRPr="00314A3D">
        <w:rPr>
          <w:sz w:val="22"/>
          <w:szCs w:val="22"/>
        </w:rPr>
        <w:t>alan</w:t>
      </w:r>
      <w:proofErr w:type="gramEnd"/>
      <w:r w:rsidRPr="00314A3D">
        <w:rPr>
          <w:sz w:val="22"/>
          <w:szCs w:val="22"/>
        </w:rPr>
        <w:t xml:space="preserve"> bilgileri, belgenin verildiği günün akşamına kadar “GİBİNTRANET Veri Giriş Sistemi”nde yer alan “2014/6881 sayılı Kararname Kapsamında L.P.G. Satın Alma İzin Belgesine Sahip Üreticiler” formuna işler.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Ayrıca, takip </w:t>
      </w:r>
      <w:proofErr w:type="gramStart"/>
      <w:r w:rsidRPr="00314A3D">
        <w:rPr>
          <w:sz w:val="22"/>
          <w:szCs w:val="22"/>
        </w:rPr>
        <w:t>eden</w:t>
      </w:r>
      <w:proofErr w:type="gramEnd"/>
      <w:r w:rsidRPr="00314A3D">
        <w:rPr>
          <w:sz w:val="22"/>
          <w:szCs w:val="22"/>
        </w:rPr>
        <w:t xml:space="preserve"> yıl için L.P.G. satın alma izin belgesi düzenlenmesini isteyen üreticiler, içinde bulunulan yılın Aralık ayından itibaren yeni belge düzenlenmesini talep edebilirler. Bu talep üzerine vergi dairesince, yukarıda belirtilen usul ve esaslar çerçevesinde işlem yapılmak suretiyle (Üreticilerin daha önceki müracaat dilekçeleri ekine eklemiş oldukları belgelerden geçerli olanlar tekrar aranmaz.) yeni L.P.G. satın </w:t>
      </w:r>
      <w:proofErr w:type="gramStart"/>
      <w:r w:rsidRPr="00314A3D">
        <w:rPr>
          <w:sz w:val="22"/>
          <w:szCs w:val="22"/>
        </w:rPr>
        <w:t>alma</w:t>
      </w:r>
      <w:proofErr w:type="gramEnd"/>
      <w:r w:rsidRPr="00314A3D">
        <w:rPr>
          <w:sz w:val="22"/>
          <w:szCs w:val="22"/>
        </w:rPr>
        <w:t xml:space="preserve"> izin belgesi düzenlenir.</w:t>
      </w:r>
    </w:p>
    <w:p w:rsidR="004022D3" w:rsidRDefault="004022D3" w:rsidP="00314A3D">
      <w:pPr>
        <w:spacing w:before="100" w:beforeAutospacing="1" w:after="100" w:afterAutospacing="1" w:line="240" w:lineRule="atLeast"/>
        <w:ind w:firstLine="566"/>
        <w:jc w:val="both"/>
        <w:rPr>
          <w:sz w:val="22"/>
          <w:szCs w:val="22"/>
        </w:rPr>
      </w:pPr>
    </w:p>
    <w:p w:rsidR="004022D3" w:rsidRDefault="004022D3" w:rsidP="00314A3D">
      <w:pPr>
        <w:spacing w:before="100" w:beforeAutospacing="1" w:after="100" w:afterAutospacing="1" w:line="240" w:lineRule="atLeast"/>
        <w:ind w:firstLine="566"/>
        <w:jc w:val="both"/>
        <w:rPr>
          <w:sz w:val="22"/>
          <w:szCs w:val="22"/>
        </w:rPr>
      </w:pP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Üreticilerin, müracaat tarihinde gerekli olan şartları taşımadığının sonradan anlaşılması veya L.P.G. satın alma izin belgesi aldıktan sonra söz konusu belgeyi alabilmek için gerekli olan şartlardan bir ya da birkaçını ihlal etmeleri halinde, L.P.G. satın alma izin belgesi ilgili vergi dairesi tarafından iptal edilerek üreticiler, vergi incelemesine sevk edilir ve aynı gün içinde “GİBİNTRANET Veri Giriş Sistemi”nde yer alan “2014/6881 sayılı Kararname Kapsamında L.P.G. Satın Alma İzin Belgesine Sahip Üreticiler” formuna bu belgenin iptal edildiğine ilişkin bilgi işlenerek dağıtıcılara da bildirilmek üzere konu hakkında Gelir İdaresi Başkanlığına bilgi verilir.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Genel ve özel bütçeli idareler, </w:t>
      </w:r>
      <w:proofErr w:type="gramStart"/>
      <w:r w:rsidRPr="00314A3D">
        <w:rPr>
          <w:sz w:val="22"/>
          <w:szCs w:val="22"/>
        </w:rPr>
        <w:t>il</w:t>
      </w:r>
      <w:proofErr w:type="gramEnd"/>
      <w:r w:rsidRPr="00314A3D">
        <w:rPr>
          <w:sz w:val="22"/>
          <w:szCs w:val="22"/>
        </w:rPr>
        <w:t xml:space="preserve"> özel idareleri, belediyeler ve sermayesinin % 51’i veya daha fazlası bunlara ait olan kuruluşlar ile özelleştirme kapsam ve programına alınmış olup hisselerinin yarısından fazlası yukarıda sayılan kuruluşlara ait olanlara L.P.G. satın alma izin belgesi verilmesinde yukarıdaki şartlar ve belgeler aranmaz.</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3. KARARNAME KAPSAMINDA L.P.G. TESLİM EDEBİLECEK OLANLAR, GEREKLİ BELGELER VE İŞLEMLER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Kararname kapsamında L.P.G., yalnızca Vergi Dairesi Başkanlığı/Defterdarlık tarafından verilen “Dağıtım İzin Belgesi”</w:t>
      </w:r>
      <w:proofErr w:type="gramStart"/>
      <w:r w:rsidRPr="00314A3D">
        <w:rPr>
          <w:sz w:val="22"/>
          <w:szCs w:val="22"/>
        </w:rPr>
        <w:t>ni</w:t>
      </w:r>
      <w:proofErr w:type="gramEnd"/>
      <w:r w:rsidRPr="00314A3D">
        <w:rPr>
          <w:sz w:val="22"/>
          <w:szCs w:val="22"/>
        </w:rPr>
        <w:t xml:space="preserve"> haiz dağıtıcılar tarafından teslim edilebilir.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Genel ve özel bütçeli idareler, </w:t>
      </w:r>
      <w:proofErr w:type="gramStart"/>
      <w:r w:rsidRPr="00314A3D">
        <w:rPr>
          <w:sz w:val="22"/>
          <w:szCs w:val="22"/>
        </w:rPr>
        <w:t>il</w:t>
      </w:r>
      <w:proofErr w:type="gramEnd"/>
      <w:r w:rsidRPr="00314A3D">
        <w:rPr>
          <w:sz w:val="22"/>
          <w:szCs w:val="22"/>
        </w:rPr>
        <w:t xml:space="preserve"> özel idareleri ile sermayesinin % 51’i veya daha fazlası bunlara ait olan kuruluşlar ve özelleştirme kapsam ve programına alınmış olup hisselerinin yarısından fazlası kamuya ait olan kuruluşlar için dağıtım izin belgesini haiz olma şartı aranmaz.</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Dağıtım izin belgesi talep </w:t>
      </w:r>
      <w:proofErr w:type="gramStart"/>
      <w:r w:rsidRPr="00314A3D">
        <w:rPr>
          <w:sz w:val="22"/>
          <w:szCs w:val="22"/>
        </w:rPr>
        <w:t>eden</w:t>
      </w:r>
      <w:proofErr w:type="gramEnd"/>
      <w:r w:rsidRPr="00314A3D">
        <w:rPr>
          <w:sz w:val="22"/>
          <w:szCs w:val="22"/>
        </w:rPr>
        <w:t xml:space="preserve"> dağıtıcıların aşağıdaki şartları taşıması gerekmektedir.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Dağıtım izin belgesi için müracaat tarihinde herhangi bir vergi borcu bulunmaması,</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Yönetim kurulu üyeleri ile şirket sermayesinin %10’undan fazlasına sahip olanların affa uğramış olsalar dahi, hırsızlık, güveni kötüye kullanma, dolandırıcılık, yalan tanıklık, yalan yere yemin, suç uydurma, iftira, irtikâp, rüşvet cürümlerinden biri dolayısıyla hapis cezasına veya 5607 sayılı Kaçakçılıkla Mücadele Kanunu ile 1567 sayılı Türk Parasının Kıymetini Koruma Hakkında Kanuna muhalefetten mahkum olmamaları, 3713 sayılı Terörle Mücadele Kanunu kapsamına giren suçlardan hükümlü bulunmamaları veya 213 sayılı Vergi Usul Kanununda yazılı kaçakçılık suçlarını işlememiş olmaları,</w:t>
      </w:r>
    </w:p>
    <w:p w:rsidR="00314A3D" w:rsidRDefault="00314A3D" w:rsidP="004022D3">
      <w:pPr>
        <w:spacing w:before="100" w:beforeAutospacing="1" w:after="100" w:afterAutospacing="1" w:line="240" w:lineRule="atLeast"/>
        <w:ind w:firstLine="566"/>
        <w:jc w:val="both"/>
        <w:rPr>
          <w:sz w:val="22"/>
          <w:szCs w:val="22"/>
        </w:rPr>
      </w:pPr>
      <w:r w:rsidRPr="00314A3D">
        <w:rPr>
          <w:sz w:val="22"/>
          <w:szCs w:val="22"/>
        </w:rPr>
        <w:t>- Enerji Piyasası Düzenleme Kurumu (EPDK) tarafından verilen “Dağıtıcı Lisansı” nın noter onaylı bir örneği ile bu Tebliğde tanımlanan L.P.G. üretecek kapasitede tesisinin bulunduğuna ve bu tesisten elde edilen numunenin aerosolüretiminde kullanılmaya uygun standardize edilmiş L.P.G. olduğuna dair Gelir İdaresi Başkanlığınca ilan edilecek Türk Akreditasyon Kurumu tarafından akredite edilmiş genel ve özel bütçeli idarelere ait laboratuvarlardan alınan raporu ilgili Vergi Dairesi Başkanlığı/Defterdarlığa vermiş olmaları.</w:t>
      </w:r>
    </w:p>
    <w:p w:rsidR="00314A3D" w:rsidRPr="00314A3D" w:rsidRDefault="00314A3D" w:rsidP="00314A3D">
      <w:pPr>
        <w:spacing w:before="100" w:beforeAutospacing="1" w:after="100" w:afterAutospacing="1" w:line="240" w:lineRule="atLeast"/>
        <w:ind w:firstLine="566"/>
        <w:jc w:val="both"/>
        <w:rPr>
          <w:sz w:val="22"/>
          <w:szCs w:val="22"/>
        </w:rPr>
      </w:pPr>
      <w:proofErr w:type="gramStart"/>
      <w:r w:rsidRPr="00314A3D">
        <w:rPr>
          <w:sz w:val="22"/>
          <w:szCs w:val="22"/>
        </w:rPr>
        <w:t>Vergi Dairesi Başkanlığı/Defterdarlık tarafından yukarıdaki şartlara ilişkin bilgi ve belgelerin kontrolleri yapıldıktan sonra, menfi bir tespit bulunmaması halinde dağıtıcılara dağıtım izin belgesi verilir.</w:t>
      </w:r>
      <w:proofErr w:type="gramEnd"/>
      <w:r w:rsidRPr="00314A3D">
        <w:rPr>
          <w:sz w:val="22"/>
          <w:szCs w:val="22"/>
        </w:rPr>
        <w:t xml:space="preserve"> Dağıtım izin belgesi düzenleyen Vergi Dairesi Başkanlığınca/Defterdarlıkça, söz konusu belgenin bir nüshası aynı gün içerisinde ilgili vergi dairesine gönderilir. İlgili vergi dairesi söz konusu belgede yer </w:t>
      </w:r>
      <w:proofErr w:type="gramStart"/>
      <w:r w:rsidRPr="00314A3D">
        <w:rPr>
          <w:sz w:val="22"/>
          <w:szCs w:val="22"/>
        </w:rPr>
        <w:t>alan</w:t>
      </w:r>
      <w:proofErr w:type="gramEnd"/>
      <w:r w:rsidRPr="00314A3D">
        <w:rPr>
          <w:sz w:val="22"/>
          <w:szCs w:val="22"/>
        </w:rPr>
        <w:t xml:space="preserve"> dağıtıcılara ilişkin bilgileri, “GİBİNTRANET Veri Giriş Sistemi”nde yer alan “2014/6881 sayılı Kararname Kapsamında Dağıtım İzin Belgesine Sahip Dağıtıcılar” formuna işler ve konu hakkında Gelir İdaresi Başkanlığına bilgi verir.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Dağıtıcıların, müracaat tarihinde gerekli olan şartları taşımadığının sonradan anlaşılması veya dağıtım izin belgesi aldıktan sonra söz konusu belgeyi alabilmek için gerekli olan şartlardan bir ya da birkaçını ihlal etmeleri halinde, dağıtım izin belgesi ilgili Vergi Dairesi Başkanlığı/Defterdarlık tarafından iptal edilerek dağıtıcılar, vergi incelemesine sevk edilir ve konu hakkında aynı gün içerisinde ilgili vergi dairesine bilgi verilir. İlgili vergi dairesi, “GİBİNTRANET Veri Giriş Sistemi”nde yer </w:t>
      </w:r>
      <w:proofErr w:type="gramStart"/>
      <w:r w:rsidRPr="00314A3D">
        <w:rPr>
          <w:sz w:val="22"/>
          <w:szCs w:val="22"/>
        </w:rPr>
        <w:t>alan</w:t>
      </w:r>
      <w:proofErr w:type="gramEnd"/>
      <w:r w:rsidRPr="00314A3D">
        <w:rPr>
          <w:sz w:val="22"/>
          <w:szCs w:val="22"/>
        </w:rPr>
        <w:t xml:space="preserve"> “2014/6881 sayılı Kararname Kapsamında Dağıtım İzin Belgesine Sahip Dağıtıcılar” formuna bu belgenin iptal edildiğine ilişkin bilgiyi işleyerek üreticilere de bildirilmek üzere Gelir İdaresi Başkanlığına bilgi verir.</w:t>
      </w:r>
    </w:p>
    <w:p w:rsidR="004022D3" w:rsidRDefault="004022D3" w:rsidP="00314A3D">
      <w:pPr>
        <w:spacing w:before="100" w:beforeAutospacing="1" w:after="100" w:afterAutospacing="1" w:line="240" w:lineRule="atLeast"/>
        <w:ind w:firstLine="566"/>
        <w:jc w:val="both"/>
        <w:rPr>
          <w:b/>
          <w:bCs/>
          <w:sz w:val="22"/>
          <w:szCs w:val="22"/>
        </w:rPr>
      </w:pPr>
    </w:p>
    <w:p w:rsidR="004022D3" w:rsidRDefault="004022D3" w:rsidP="00314A3D">
      <w:pPr>
        <w:spacing w:before="100" w:beforeAutospacing="1" w:after="100" w:afterAutospacing="1" w:line="240" w:lineRule="atLeast"/>
        <w:ind w:firstLine="566"/>
        <w:jc w:val="both"/>
        <w:rPr>
          <w:b/>
          <w:bCs/>
          <w:sz w:val="22"/>
          <w:szCs w:val="22"/>
        </w:rPr>
      </w:pP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4. DAĞITICILARIN ÜRETİCİLERE L.P.G. TESLİMİ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Üreticilerin, Kararname kapsamında aerosol üretiminde kullanacakları L.P.G., yurt içerisinde yalnızca dağıtıcılardan satın alınabilir. Dağıtıcılar, Kararname kapsamında L.P.G. tesliminden önce, üreticilerin L.P.G. satın </w:t>
      </w:r>
      <w:proofErr w:type="gramStart"/>
      <w:r w:rsidRPr="00314A3D">
        <w:rPr>
          <w:sz w:val="22"/>
          <w:szCs w:val="22"/>
        </w:rPr>
        <w:t>alma</w:t>
      </w:r>
      <w:proofErr w:type="gramEnd"/>
      <w:r w:rsidRPr="00314A3D">
        <w:rPr>
          <w:sz w:val="22"/>
          <w:szCs w:val="22"/>
        </w:rPr>
        <w:t xml:space="preserve"> izin belgesine sahip olduklarını arayacaklardır. Bu amaçla L.P.G. satın almak isteyen üreticiler, “L.P.G. Satın Alma İzin Belgesi”</w:t>
      </w:r>
      <w:proofErr w:type="gramStart"/>
      <w:r w:rsidRPr="00314A3D">
        <w:rPr>
          <w:sz w:val="22"/>
          <w:szCs w:val="22"/>
        </w:rPr>
        <w:t>nin</w:t>
      </w:r>
      <w:proofErr w:type="gramEnd"/>
      <w:r w:rsidRPr="00314A3D">
        <w:rPr>
          <w:sz w:val="22"/>
          <w:szCs w:val="22"/>
        </w:rPr>
        <w:t xml:space="preserve"> işletme yetkililerince kaşe tatbik edilerek onaylanmış örneğini, söz konusu malı ilk defa teslim alacakları tarihten önce dağıtıcılara vereceklerdir.</w:t>
      </w:r>
    </w:p>
    <w:p w:rsidR="00314A3D" w:rsidRPr="00314A3D" w:rsidRDefault="00314A3D" w:rsidP="00314A3D">
      <w:pPr>
        <w:spacing w:before="100" w:beforeAutospacing="1" w:after="100" w:afterAutospacing="1" w:line="240" w:lineRule="atLeast"/>
        <w:ind w:firstLine="566"/>
        <w:jc w:val="both"/>
        <w:rPr>
          <w:sz w:val="22"/>
          <w:szCs w:val="22"/>
        </w:rPr>
      </w:pPr>
      <w:proofErr w:type="gramStart"/>
      <w:r w:rsidRPr="00314A3D">
        <w:rPr>
          <w:b/>
          <w:bCs/>
          <w:sz w:val="22"/>
          <w:szCs w:val="22"/>
        </w:rPr>
        <w:t>4.1. Dağıtıcılar Tarafından İthal Edilen L.P.G. nin Üreticilere Kararname Kapsamında Teslimi</w:t>
      </w:r>
      <w:proofErr w:type="gramEnd"/>
      <w:r w:rsidRPr="00314A3D">
        <w:rPr>
          <w:b/>
          <w:bCs/>
          <w:sz w:val="22"/>
          <w:szCs w:val="22"/>
        </w:rPr>
        <w:t>, Beyanı ve Teminatın Çözümü İşlemleri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Dağıtıcılar tarafından ithal edilen L.P.G. nin üreticilere tesliminde, (1) numaralı ÖTV beyannamesinin “Vergi Bildirimi” bölümünün “A Cetvelindeki Ürünler” kısmında “2014/6881 sayılı Kararname” ibaresi seçilerek, yürürlükteki ÖTV tutarı üzerinden vergi beyan edilip ödenmesi gerekmektedir.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Ayrıca dağıtıcılar, bu teslimin yapıldığı döneme ait ÖTV beyannamesinin “Ekler” bölümünün, “2014/6881 sayılı Kararname Kapsamında Yapılan Teslimler” kısmına, ithal edilen L.P.G. ye ilişkin bilgileri gireceklerdir.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Dağıtıcılar tarafından ithal edilen L.P.G. </w:t>
      </w:r>
      <w:proofErr w:type="gramStart"/>
      <w:r w:rsidRPr="00314A3D">
        <w:rPr>
          <w:sz w:val="22"/>
          <w:szCs w:val="22"/>
        </w:rPr>
        <w:t>nin</w:t>
      </w:r>
      <w:proofErr w:type="gramEnd"/>
      <w:r w:rsidRPr="00314A3D">
        <w:rPr>
          <w:sz w:val="22"/>
          <w:szCs w:val="22"/>
        </w:rPr>
        <w:t> bu Kararname kapsamında teslim edilmesi halinde, ithalde verilen teminatın çözümü işlemleri 1 Seri No.lu Özel Tüketim Vergisi Genel Tebliğinin</w:t>
      </w:r>
      <w:r w:rsidRPr="00314A3D">
        <w:rPr>
          <w:sz w:val="22"/>
          <w:szCs w:val="22"/>
          <w:vertAlign w:val="superscript"/>
        </w:rPr>
        <w:t>1</w:t>
      </w:r>
      <w:r w:rsidRPr="00314A3D">
        <w:rPr>
          <w:sz w:val="22"/>
          <w:szCs w:val="22"/>
        </w:rPr>
        <w:t> 16.3.5.1./e bölümünde yapılan açıklamalara göre yerine getirilir.</w:t>
      </w:r>
    </w:p>
    <w:p w:rsidR="00314A3D" w:rsidRPr="00314A3D" w:rsidRDefault="00314A3D" w:rsidP="00314A3D">
      <w:pPr>
        <w:spacing w:before="100" w:beforeAutospacing="1" w:after="100" w:afterAutospacing="1" w:line="240" w:lineRule="atLeast"/>
        <w:ind w:firstLine="566"/>
        <w:jc w:val="both"/>
        <w:rPr>
          <w:sz w:val="22"/>
          <w:szCs w:val="22"/>
        </w:rPr>
      </w:pPr>
      <w:proofErr w:type="gramStart"/>
      <w:r w:rsidRPr="00314A3D">
        <w:rPr>
          <w:b/>
          <w:bCs/>
          <w:sz w:val="22"/>
          <w:szCs w:val="22"/>
        </w:rPr>
        <w:t>4.2. Dağıtıcılar Tarafından Rafinericilerden ÖTV Ödenerek Satın Alınan L.P.G. nin Üreticilere Kararname Kapsamında Teslimi ve Beyanı</w:t>
      </w:r>
      <w:proofErr w:type="gramEnd"/>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4/12/2003 tarihli ve 5015 sayılı Petrol Piyasası Kanununda tanımlanan rafinericiler, dağıtıcılara L.P.G.tesliminde, bu malın birimi itibarıyla yürürlükteki vergi tutarı üzerinden vergi beyan ederek öderler.</w:t>
      </w:r>
    </w:p>
    <w:p w:rsidR="00314A3D" w:rsidRDefault="00314A3D" w:rsidP="004022D3">
      <w:pPr>
        <w:spacing w:before="100" w:beforeAutospacing="1" w:after="100" w:afterAutospacing="1" w:line="240" w:lineRule="atLeast"/>
        <w:ind w:firstLine="566"/>
        <w:jc w:val="both"/>
        <w:rPr>
          <w:sz w:val="22"/>
          <w:szCs w:val="22"/>
        </w:rPr>
      </w:pPr>
      <w:r w:rsidRPr="00314A3D">
        <w:rPr>
          <w:sz w:val="22"/>
          <w:szCs w:val="22"/>
        </w:rPr>
        <w:t xml:space="preserve">Dağıtıcıların, bu şekilde rafinericilerden ÖTV ödeyerek satın aldıkları L.P.G. yi üreticilere Kararname kapsamında teslim etmeleri halinde, üreticiler </w:t>
      </w:r>
      <w:proofErr w:type="gramStart"/>
      <w:r w:rsidRPr="00314A3D">
        <w:rPr>
          <w:sz w:val="22"/>
          <w:szCs w:val="22"/>
        </w:rPr>
        <w:t>adına</w:t>
      </w:r>
      <w:proofErr w:type="gramEnd"/>
      <w:r w:rsidRPr="00314A3D">
        <w:rPr>
          <w:sz w:val="22"/>
          <w:szCs w:val="22"/>
        </w:rPr>
        <w:t xml:space="preserve"> düzenleyecekleri faturalarda, rafinerici tarafından beyan edilerek ödenmiş olması gereken ÖTV tutarını teslim bedeline dahil etmeleri ve bu tutarı faturada “2014/6881 Sayılı Kararname Kapsamında Teslim Edilmiş Olup Teslim Bedeline Dahil Edilen ÖTV Tutarı …. </w:t>
      </w:r>
      <w:proofErr w:type="gramStart"/>
      <w:r w:rsidRPr="00314A3D">
        <w:rPr>
          <w:sz w:val="22"/>
          <w:szCs w:val="22"/>
        </w:rPr>
        <w:t>TL’dir.” şerhi ile göstermeleri gerekmektedir.</w:t>
      </w:r>
      <w:proofErr w:type="gramEnd"/>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Ayrıca dağıtıcılar tarafından, rafinericilerden satın alınan L.P.G. nin aerosol üreticilerine teslimlerine ilişkin bu Tebliğ ekinde EK:3 olarak yer alan, “Rafinericilerden Satın Alınan L.P.G. nin 2014/6881 Sayılı Kararname Kapsamında Teslimine İlişkin Bildirim Formu”nun Gelir İdaresi Başkanlığının “www.gib.gov.tr” web adresinde hizmet veren İnternet Vergi Dairesi/Kurumlar-Gelir Vergi Dairesine, her ayın ilk on beş günlük birinci ve kalan günlerinden oluşan ikinci dönemini kapsayacak şekilde yapılmış olan teslimler için ayrı ayrı düzenlenmesi ve bu dönemleri takip eden 10 uncu günü akşamına kadar gönderilmesi gerekmektedir.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Bu amaçla, EK</w:t>
      </w:r>
      <w:proofErr w:type="gramStart"/>
      <w:r w:rsidRPr="00314A3D">
        <w:rPr>
          <w:sz w:val="22"/>
          <w:szCs w:val="22"/>
        </w:rPr>
        <w:t>:3</w:t>
      </w:r>
      <w:proofErr w:type="gramEnd"/>
      <w:r w:rsidRPr="00314A3D">
        <w:rPr>
          <w:sz w:val="22"/>
          <w:szCs w:val="22"/>
        </w:rPr>
        <w:t xml:space="preserve"> bildirim formuna konu L.P.G. teslimi yapan dağıtıcılar, vergi dairelerinden kullanıcı kodu ve kişisel şifre alacaklardır. Şifre alınabilmesi için 1 Seri No.lu Özel Tüketim Vergisi Genel Tebliği ekindeki EK</w:t>
      </w:r>
      <w:proofErr w:type="gramStart"/>
      <w:r w:rsidRPr="00314A3D">
        <w:rPr>
          <w:sz w:val="22"/>
          <w:szCs w:val="22"/>
        </w:rPr>
        <w:t>:15</w:t>
      </w:r>
      <w:proofErr w:type="gramEnd"/>
      <w:r w:rsidRPr="00314A3D">
        <w:rPr>
          <w:sz w:val="22"/>
          <w:szCs w:val="22"/>
        </w:rPr>
        <w:t xml:space="preserve"> ve EK:16 “İnternet Hizmetleri Kullanım Başvuru Formu”nun, otomasyonlu vergi dairelerinden temin edilerek veya Başkanlığın “www.gib.gov.tr” adresindeki “İnternet Vergi Dairesi/Kurumlar-Gelir Vergi Dairesi”nden döküm alınarak düzenlenmesi ve ÖTV ya da KDV yönünden bağlı olunan vergi dairesine verilmesi gerekmektedir. Bu başvuru üzerine mükelleflere kişisel şifre ve kullanıcı kodu verilecektir.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İnternet ortamında düzenlenen bildirimler, onaylanmak ve vergi dairelerinden </w:t>
      </w:r>
      <w:proofErr w:type="gramStart"/>
      <w:r w:rsidRPr="00314A3D">
        <w:rPr>
          <w:sz w:val="22"/>
          <w:szCs w:val="22"/>
        </w:rPr>
        <w:t>temin</w:t>
      </w:r>
      <w:proofErr w:type="gramEnd"/>
      <w:r w:rsidRPr="00314A3D">
        <w:rPr>
          <w:sz w:val="22"/>
          <w:szCs w:val="22"/>
        </w:rPr>
        <w:t xml:space="preserve"> edilen kişisel şifre ve kullanıcı kodu kullanılmak suretiyle Başkanlığın internet vergi dairesine gönderilir. Gönderilen bildirimlerin içeriğinde mükelleflerce değişiklik yapılmak istenmesi halinde, yeniden düzenlenen bildirimler onaylanarak gönderilir. Gelir İdaresi Başkanlığınca gerekli görülmesi halinde, bu bildirim formunun içeriğinde değişiklik yapılabilir.</w:t>
      </w:r>
    </w:p>
    <w:p w:rsidR="004022D3" w:rsidRDefault="004022D3" w:rsidP="00314A3D">
      <w:pPr>
        <w:spacing w:before="100" w:beforeAutospacing="1" w:after="100" w:afterAutospacing="1" w:line="240" w:lineRule="atLeast"/>
        <w:ind w:firstLine="566"/>
        <w:jc w:val="both"/>
        <w:rPr>
          <w:sz w:val="22"/>
          <w:szCs w:val="22"/>
        </w:rPr>
      </w:pPr>
    </w:p>
    <w:p w:rsidR="004022D3" w:rsidRDefault="004022D3" w:rsidP="00314A3D">
      <w:pPr>
        <w:spacing w:before="100" w:beforeAutospacing="1" w:after="100" w:afterAutospacing="1" w:line="240" w:lineRule="atLeast"/>
        <w:ind w:firstLine="566"/>
        <w:jc w:val="both"/>
        <w:rPr>
          <w:sz w:val="22"/>
          <w:szCs w:val="22"/>
        </w:rPr>
      </w:pPr>
    </w:p>
    <w:p w:rsidR="00314A3D" w:rsidRPr="00314A3D" w:rsidRDefault="00314A3D" w:rsidP="00314A3D">
      <w:pPr>
        <w:spacing w:before="100" w:beforeAutospacing="1" w:after="100" w:afterAutospacing="1" w:line="240" w:lineRule="atLeast"/>
        <w:ind w:firstLine="566"/>
        <w:jc w:val="both"/>
        <w:rPr>
          <w:sz w:val="22"/>
          <w:szCs w:val="22"/>
        </w:rPr>
      </w:pPr>
      <w:proofErr w:type="gramStart"/>
      <w:r w:rsidRPr="00314A3D">
        <w:rPr>
          <w:sz w:val="22"/>
          <w:szCs w:val="22"/>
        </w:rPr>
        <w:t>Bu bildirim formlarını süresinde göndermeyenler hakkında 213 sayılı Vergi Usul Kanunu hükümleri uyarınca özel usulsüzlük cezası uygulanır.</w:t>
      </w:r>
      <w:proofErr w:type="gramEnd"/>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5. ÜRETİCİLERİN L.P.G. İTHALİ VE KULLANIMI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Dahilde işleme izin belgesi sahibi aerosol üreticileri, Kararname kapsamında üretimde kullanmak üzere L.P.G.ithal edebilirler. Söz konusu üreticiler tarafından, “L.P.G. Satın Alma İzin Belgesi”</w:t>
      </w:r>
      <w:proofErr w:type="gramStart"/>
      <w:r w:rsidRPr="00314A3D">
        <w:rPr>
          <w:sz w:val="22"/>
          <w:szCs w:val="22"/>
        </w:rPr>
        <w:t>nin</w:t>
      </w:r>
      <w:proofErr w:type="gramEnd"/>
      <w:r w:rsidRPr="00314A3D">
        <w:rPr>
          <w:sz w:val="22"/>
          <w:szCs w:val="22"/>
        </w:rPr>
        <w:t xml:space="preserve"> bir örneği, ithalatın gerçekleştirileceği gümrük idaresine verilir.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İlgili gümrük idaresi bunun üzerine 1 Seri No.lu Özel Tüketim Vergisi Genel Tebliğinin 16.3.1. </w:t>
      </w:r>
      <w:proofErr w:type="gramStart"/>
      <w:r w:rsidRPr="00314A3D">
        <w:rPr>
          <w:sz w:val="22"/>
          <w:szCs w:val="22"/>
        </w:rPr>
        <w:t>bölümünde</w:t>
      </w:r>
      <w:proofErr w:type="gramEnd"/>
      <w:r w:rsidRPr="00314A3D">
        <w:rPr>
          <w:sz w:val="22"/>
          <w:szCs w:val="22"/>
        </w:rPr>
        <w:t xml:space="preserve"> yer alan usul ve esaslar çerçevesinde söz konusu ürünün yürürlükte olan ÖTV tutarı kadar nakit veya banka teminat mektubu almak suretiyle gümrükleme işlemini gerçekleştirir.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14 Seri No.lu Özel Tüketim Vergisi Genel Tebliğinin</w:t>
      </w:r>
      <w:r w:rsidRPr="00314A3D">
        <w:rPr>
          <w:sz w:val="22"/>
          <w:szCs w:val="22"/>
          <w:vertAlign w:val="superscript"/>
        </w:rPr>
        <w:t>2</w:t>
      </w:r>
      <w:r w:rsidRPr="00314A3D">
        <w:rPr>
          <w:sz w:val="22"/>
          <w:szCs w:val="22"/>
        </w:rPr>
        <w:t> 1 inci bölümünde yapılan açıklamalar uyarınca, (I) sayılı listedeki malların ithalinde üreticilerin, en geç ithal tarihinde yurt içinde ÖTV yönünden bağlı olunan vergi dairesine mükellefiyet tesis ettirmeleri gerekmektedir.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5.1. İthal Edilen L.P.G. </w:t>
      </w:r>
      <w:proofErr w:type="gramStart"/>
      <w:r w:rsidRPr="00314A3D">
        <w:rPr>
          <w:b/>
          <w:bCs/>
          <w:sz w:val="22"/>
          <w:szCs w:val="22"/>
        </w:rPr>
        <w:t>nin</w:t>
      </w:r>
      <w:proofErr w:type="gramEnd"/>
      <w:r w:rsidRPr="00314A3D">
        <w:rPr>
          <w:b/>
          <w:bCs/>
          <w:sz w:val="22"/>
          <w:szCs w:val="22"/>
        </w:rPr>
        <w:t> ÖTV’ye Tabi Olmayan Aerosol Üretiminde Kullanımı, Beyanı ve Teminatın Çözümü İşlemleri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Kararname kapsamında ithal edilen L.P.G. </w:t>
      </w:r>
      <w:proofErr w:type="gramStart"/>
      <w:r w:rsidRPr="00314A3D">
        <w:rPr>
          <w:sz w:val="22"/>
          <w:szCs w:val="22"/>
        </w:rPr>
        <w:t>nin</w:t>
      </w:r>
      <w:proofErr w:type="gramEnd"/>
      <w:r w:rsidRPr="00314A3D">
        <w:rPr>
          <w:sz w:val="22"/>
          <w:szCs w:val="22"/>
        </w:rPr>
        <w:t> ÖTV’ye tabi olmayan aerosol üretiminde kullanılması, Özel Tüketim Vergisi Kanununun 2 nci maddesinin (3) numaralı fıkrasının (a) bendi uyarınca teslim sayılır. Buna göre üreticilerin ÖTV’ye tabi olmayan aerosol üretiminde kullandıkları L.P.G. ye ilişkin ÖTV’yi, bu malın birimi itibarıyla yürürlükteki vergi tutarı üzerinden (1) numaralı ÖTV beyannamesinin “Vergi Bildirimi” bölümünün “A Cetvelindeki Ürünler” kısmında “2014/6881 sayılı Kararname” ibaresini seçerek beyan edip ödemeleri gerekmektedir.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Ayrıca üreticiler, bu teslimin yapıldığı döneme ait ÖTV beyannamesinin “Ekler” bölümünün “2014/6881 sayılı Kararname Kapsamında Yapılan Teslimler” kısmına, ithal etmiş oldukları L.P.G. ye ilişkin bilgileri gireceklerdir.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Üreticiler tarafından Kararname kapsamında ithal edilen L.P.G. </w:t>
      </w:r>
      <w:proofErr w:type="gramStart"/>
      <w:r w:rsidRPr="00314A3D">
        <w:rPr>
          <w:sz w:val="22"/>
          <w:szCs w:val="22"/>
        </w:rPr>
        <w:t>nin</w:t>
      </w:r>
      <w:proofErr w:type="gramEnd"/>
      <w:r w:rsidRPr="00314A3D">
        <w:rPr>
          <w:sz w:val="22"/>
          <w:szCs w:val="22"/>
        </w:rPr>
        <w:t> ithalatı sırasında gümrük idaresince alınan teminatın çözümü işlemleri 1 Seri No.lu Özel Tüketim Vergisi Genel Tebliğinin 16.3.5.1./e bölümünde yapılan açıklamalara göre yerine getirilir.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5.2. İthal Edilen L.P.G. </w:t>
      </w:r>
      <w:proofErr w:type="gramStart"/>
      <w:r w:rsidRPr="00314A3D">
        <w:rPr>
          <w:b/>
          <w:bCs/>
          <w:sz w:val="22"/>
          <w:szCs w:val="22"/>
        </w:rPr>
        <w:t>nin</w:t>
      </w:r>
      <w:proofErr w:type="gramEnd"/>
      <w:r w:rsidRPr="00314A3D">
        <w:rPr>
          <w:b/>
          <w:bCs/>
          <w:sz w:val="22"/>
          <w:szCs w:val="22"/>
        </w:rPr>
        <w:t> ÖTV’ye Tabi Olan Aerosol Üretiminde Kullanımı ve Teminatın Çözümü İşlemleri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Üreticiler tarafından Kararname kapsamında ithal edilen L.P.G. </w:t>
      </w:r>
      <w:proofErr w:type="gramStart"/>
      <w:r w:rsidRPr="00314A3D">
        <w:rPr>
          <w:sz w:val="22"/>
          <w:szCs w:val="22"/>
        </w:rPr>
        <w:t>nin</w:t>
      </w:r>
      <w:proofErr w:type="gramEnd"/>
      <w:r w:rsidRPr="00314A3D">
        <w:rPr>
          <w:sz w:val="22"/>
          <w:szCs w:val="22"/>
        </w:rPr>
        <w:t>, Özel Tüketim Vergisi Kanununa ekli (IV) sayılı listede yer alan aerosol üretiminde kullanımı, bu Kanunun 2 nci maddesinin (3) numaralı fıkrasının (a) bendi uyarınca teslim sayılmaz.</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Buna göre üreticiler tarafından Kararname kapsamında ithal edilen L.P.G. </w:t>
      </w:r>
      <w:proofErr w:type="gramStart"/>
      <w:r w:rsidRPr="00314A3D">
        <w:rPr>
          <w:sz w:val="22"/>
          <w:szCs w:val="22"/>
        </w:rPr>
        <w:t>nin</w:t>
      </w:r>
      <w:proofErr w:type="gramEnd"/>
      <w:r w:rsidRPr="00314A3D">
        <w:rPr>
          <w:sz w:val="22"/>
          <w:szCs w:val="22"/>
        </w:rPr>
        <w:t> teminatının çözümü işlemleri, söz konusu malın Özel Tüketim Vergisi Kanununa ekli (IV) sayılı listede yer alan aerosol üretiminde kullanılması ve bu şekilde üretilen malın teslimine ilişkin ÖTV’nin beyan edilerek ödenmesi üzerine, 1 Seri No.lu Özel Tüketim Vergisi Genel Tebliğinin 16.3.5.1./d bölümündeki açıklamalar uyarınca yerine getirilir.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6. ÖTV İADESİ TALEBİ</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6.1. İade Talep Edebilecekler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Bu uygulama kapsamındaki ÖTV iadesini, sadece aerosol üreticileri talep edebilir. Ancak üreticiler tarafından bu Tebliğin 5.2. bölümünde yer alan açıklamalara istinaden doğrudan ithal edilen L.P.G. nin ÖTV’ye tabi aerosol üretiminde kullanılması, Özel Tüketim Vergisi Kanununun 2 nci maddesinin (3) numaralı fıkrasının (a) bendi uyarınca teslim sayılmadığından, bu kapsamdaki kullanımlar için iade talep edilmesi mümkün değildir.</w:t>
      </w:r>
    </w:p>
    <w:p w:rsidR="004022D3" w:rsidRDefault="004022D3" w:rsidP="00314A3D">
      <w:pPr>
        <w:spacing w:before="100" w:beforeAutospacing="1" w:after="100" w:afterAutospacing="1" w:line="240" w:lineRule="atLeast"/>
        <w:ind w:firstLine="566"/>
        <w:jc w:val="both"/>
        <w:rPr>
          <w:b/>
          <w:bCs/>
          <w:sz w:val="22"/>
          <w:szCs w:val="22"/>
        </w:rPr>
      </w:pPr>
    </w:p>
    <w:p w:rsidR="00314A3D" w:rsidRPr="00314A3D" w:rsidRDefault="00314A3D" w:rsidP="00314A3D">
      <w:pPr>
        <w:spacing w:before="100" w:beforeAutospacing="1" w:after="100" w:afterAutospacing="1" w:line="240" w:lineRule="atLeast"/>
        <w:ind w:firstLine="566"/>
        <w:jc w:val="both"/>
        <w:rPr>
          <w:sz w:val="22"/>
          <w:szCs w:val="22"/>
        </w:rPr>
      </w:pPr>
      <w:proofErr w:type="gramStart"/>
      <w:r w:rsidRPr="00314A3D">
        <w:rPr>
          <w:b/>
          <w:bCs/>
          <w:sz w:val="22"/>
          <w:szCs w:val="22"/>
        </w:rPr>
        <w:t>6.2. ÖTV İadesi Talep Edilecek L.P.G. nin İmalatta Kullanılma Süresi</w:t>
      </w:r>
      <w:proofErr w:type="gramEnd"/>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Kararname kapsamında satın alınan L.P.G. </w:t>
      </w:r>
      <w:proofErr w:type="gramStart"/>
      <w:r w:rsidRPr="00314A3D">
        <w:rPr>
          <w:sz w:val="22"/>
          <w:szCs w:val="22"/>
        </w:rPr>
        <w:t>nin</w:t>
      </w:r>
      <w:proofErr w:type="gramEnd"/>
      <w:r w:rsidRPr="00314A3D">
        <w:rPr>
          <w:sz w:val="22"/>
          <w:szCs w:val="22"/>
        </w:rPr>
        <w:t> satın alma tarihini, ithal edilen L.P.G. nin ise ithal tarihini takip eden aybaşından itibaren 12 ay içinde aerosol üreticilerince imalatta kullanılması gerekmektedir.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6.3. İadesi Talep Edilebilecek Vergi Tutarı</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Aerosol üreticileri, Kararname kapsamında imalatta kullandıkları L.P.G. için ödenen ÖTV tutarının iadesini talep edebilirler.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6.4. İade Talep Edilecek Vergi Dairesi ve Süresi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Kararname kapsamındaki L.P.G. </w:t>
      </w:r>
      <w:proofErr w:type="gramStart"/>
      <w:r w:rsidRPr="00314A3D">
        <w:rPr>
          <w:sz w:val="22"/>
          <w:szCs w:val="22"/>
        </w:rPr>
        <w:t>nin</w:t>
      </w:r>
      <w:proofErr w:type="gramEnd"/>
      <w:r w:rsidRPr="00314A3D">
        <w:rPr>
          <w:sz w:val="22"/>
          <w:szCs w:val="22"/>
        </w:rPr>
        <w:t xml:space="preserve"> satın alma veya ithal tarihini takip eden aybaşından itibaren 12 ay içerisindeÖTV’ye tabi olmayan aerosol imalinde kullanılması halinde aynı süre içerisinde KDV (KDV mükellefiyetinin bulunmaması halinde Gelir veya Kurumlar Vergisi) yönünden bağlı bulunulan vergi dairesinden iade talebinde bulunulabilir. Ancak 12 nci ay içerisindeki kullanımlara ilişkin iade talepleri, bu ayı takip </w:t>
      </w:r>
      <w:proofErr w:type="gramStart"/>
      <w:r w:rsidRPr="00314A3D">
        <w:rPr>
          <w:sz w:val="22"/>
          <w:szCs w:val="22"/>
        </w:rPr>
        <w:t>eden</w:t>
      </w:r>
      <w:proofErr w:type="gramEnd"/>
      <w:r w:rsidRPr="00314A3D">
        <w:rPr>
          <w:sz w:val="22"/>
          <w:szCs w:val="22"/>
        </w:rPr>
        <w:t xml:space="preserve"> ay sonuna kadar yapılabilir.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Kararname kapsamındaki L.P.G. </w:t>
      </w:r>
      <w:proofErr w:type="gramStart"/>
      <w:r w:rsidRPr="00314A3D">
        <w:rPr>
          <w:sz w:val="22"/>
          <w:szCs w:val="22"/>
        </w:rPr>
        <w:t>nin</w:t>
      </w:r>
      <w:proofErr w:type="gramEnd"/>
      <w:r w:rsidRPr="00314A3D">
        <w:rPr>
          <w:sz w:val="22"/>
          <w:szCs w:val="22"/>
        </w:rPr>
        <w:t> satın alma tarihini takip eden aybaşından itibaren 12 ay içerisinde ÖTV’yetabi olan aerosol imalinde kullanılması halinde ise üretilen aerosolün vergisinin beyan dönemini takip eden aybaşından itibaren 3 ay içerisinde KDV (KDV mükellefiyetinin bulunmaması halinde Gelir veya Kurumlar Vergisi) yönünden bağlı olunan vergi dairesinden iade talebinde bulunulabilir.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Bu süreler geçtikten sonra iade talep edilmesi mümkün değildir. Bu talepler yukarıdaki süreler göz önünde bulundurularak söz konusu malın ÖTV’ye tabi olmayan aerosol üretiminde kullanımında bu kullanımı takip eden</w:t>
      </w:r>
      <w:proofErr w:type="gramStart"/>
      <w:r w:rsidRPr="00314A3D">
        <w:rPr>
          <w:sz w:val="22"/>
          <w:szCs w:val="22"/>
        </w:rPr>
        <w:t>,ÖTV’ye</w:t>
      </w:r>
      <w:proofErr w:type="gramEnd"/>
      <w:r w:rsidRPr="00314A3D">
        <w:rPr>
          <w:sz w:val="22"/>
          <w:szCs w:val="22"/>
        </w:rPr>
        <w:t> tabi olan aerosol üretiminde kullanımında ise üretilen aerosolün beyan dönemini takip eden aybaşından itibaren en az birer aylık dönemler itibariyle yapılabilir.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Örnek 1:</w:t>
      </w:r>
      <w:r w:rsidRPr="00314A3D">
        <w:rPr>
          <w:sz w:val="22"/>
          <w:szCs w:val="22"/>
        </w:rPr>
        <w:t xml:space="preserve"> Aerosol üreticisi (A) tarafından 1/11/2014 tarihinde ÖTV’ye tabi olmayan aerosol üretiminde kullanılmak üzere ithal edilen 1.000 kg L.P.G. nin 500 kg’lik kısmı 2014 yılı Aralık ayı, kalan 500 kg’lik kısmı ise 2015 yılı Kasım ayı içerisinde bu malın imalatında kullanılmıştır. </w:t>
      </w:r>
      <w:proofErr w:type="gramStart"/>
      <w:r w:rsidRPr="00314A3D">
        <w:rPr>
          <w:sz w:val="22"/>
          <w:szCs w:val="22"/>
        </w:rPr>
        <w:t>Buna göre, 2014 yılı Aralık ayında imalatta kullanılan 500 kgL.P.G.</w:t>
      </w:r>
      <w:proofErr w:type="gramEnd"/>
      <w:r w:rsidRPr="00314A3D">
        <w:rPr>
          <w:sz w:val="22"/>
          <w:szCs w:val="22"/>
        </w:rPr>
        <w:t> </w:t>
      </w:r>
      <w:proofErr w:type="gramStart"/>
      <w:r w:rsidRPr="00314A3D">
        <w:rPr>
          <w:sz w:val="22"/>
          <w:szCs w:val="22"/>
        </w:rPr>
        <w:t>için</w:t>
      </w:r>
      <w:proofErr w:type="gramEnd"/>
      <w:r w:rsidRPr="00314A3D">
        <w:rPr>
          <w:sz w:val="22"/>
          <w:szCs w:val="22"/>
        </w:rPr>
        <w:t xml:space="preserve"> 1/1/2015 tarihinden 30/11/2015 tarihine kadar iade talep edilebilir. 2015 yılı Kasım ayı içerisindeki imalat bu Tebliğin 6.2. </w:t>
      </w:r>
      <w:proofErr w:type="gramStart"/>
      <w:r w:rsidRPr="00314A3D">
        <w:rPr>
          <w:sz w:val="22"/>
          <w:szCs w:val="22"/>
        </w:rPr>
        <w:t>bölümünde</w:t>
      </w:r>
      <w:proofErr w:type="gramEnd"/>
      <w:r w:rsidRPr="00314A3D">
        <w:rPr>
          <w:sz w:val="22"/>
          <w:szCs w:val="22"/>
        </w:rPr>
        <w:t xml:space="preserve"> belirtilen sürenin son ayı içerisinde gerçekleştirildiğinden, bu imalata ilişkin iade talebi ise 31/12/2015 tarihine kadar yapılabilir.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Örnek 2:</w:t>
      </w:r>
      <w:r w:rsidRPr="00314A3D">
        <w:rPr>
          <w:sz w:val="22"/>
          <w:szCs w:val="22"/>
        </w:rPr>
        <w:t xml:space="preserve"> Aerosol üreticisi (B) tarafından 1/11/2014 tarihinde ÖTV’ye tabi olan aerosol üretiminde kullanılmak üzere yurt içinden ÖTV’si ödenerek satın alınan 2.000 kg L.P.G. nin 1.000 kg’lik kısmı 2014 yılı Aralık ayı, kalan 1.000kg’lik kısmı ise 2015 yılının Şubat ayı içerisinde bu malın imalatında kullanılmıştır. Aralık ayında imal edilen aerosol10/1/2015 tarihinde, Şubat ayında imal edilen aerosol ise 25/3/2015 tarihinde teslim edilerek bu teslimlere ilişkin ÖTV de (IV) sayılı liste ÖTV beyannamesi ile beyan edilerek ödenmiştir. Buna göre, 2015 yılı Ocak ayında teslim edilenaerosolün imalatına ilişkin olarak bu malın vergisinin beyan dönemini takip </w:t>
      </w:r>
      <w:proofErr w:type="gramStart"/>
      <w:r w:rsidRPr="00314A3D">
        <w:rPr>
          <w:sz w:val="22"/>
          <w:szCs w:val="22"/>
        </w:rPr>
        <w:t>eden</w:t>
      </w:r>
      <w:proofErr w:type="gramEnd"/>
      <w:r w:rsidRPr="00314A3D">
        <w:rPr>
          <w:sz w:val="22"/>
          <w:szCs w:val="22"/>
        </w:rPr>
        <w:t xml:space="preserve"> aybaşı olan 1/3/2015 tarihinden 31/5/2015 tarihine kadar; Mart ayında teslim edilen aerosolün imalatına ilişkin olarak ise bu malın vergisinin beyan dönemini takip eden aybaşı olan 1/5/2015 tarihinden 31/7/2015 tarihine kadar iade talep edilebilir.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 İADE UYGULAMASI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Bu Tebliğ kapsamındaki ÖTV iade talepleri aşağıda yapılan açıklamalar çerçevesinde yerine getirilir.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7.1. Mahsuben İade Talepleri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Mahsuben iade, mükellefin kendisinin, ortaklık payı ile orantılı olmak üzere adi, kollektif ve komandit şirketlerde ortakların (komandit şirketlerde sadece komandite ortakların) ithalat sırasında uygulananlar dâhil, vergi borçları ve ferileri ile Sosyal Güvenlik Kurumuna (SGK) olan borçları (sosyal sigorta primi, işsizlik sigortası primi ve idari para cezası borçları ile bunların ferileri) için yapılabilir.</w:t>
      </w:r>
    </w:p>
    <w:p w:rsidR="004022D3" w:rsidRDefault="004022D3" w:rsidP="00314A3D">
      <w:pPr>
        <w:spacing w:before="100" w:beforeAutospacing="1" w:after="100" w:afterAutospacing="1" w:line="240" w:lineRule="atLeast"/>
        <w:ind w:firstLine="566"/>
        <w:jc w:val="both"/>
        <w:rPr>
          <w:b/>
          <w:bCs/>
          <w:sz w:val="22"/>
          <w:szCs w:val="22"/>
        </w:rPr>
      </w:pPr>
    </w:p>
    <w:p w:rsidR="004022D3" w:rsidRDefault="004022D3" w:rsidP="00314A3D">
      <w:pPr>
        <w:spacing w:before="100" w:beforeAutospacing="1" w:after="100" w:afterAutospacing="1" w:line="240" w:lineRule="atLeast"/>
        <w:ind w:firstLine="566"/>
        <w:jc w:val="both"/>
        <w:rPr>
          <w:b/>
          <w:bCs/>
          <w:sz w:val="22"/>
          <w:szCs w:val="22"/>
        </w:rPr>
      </w:pP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7.1.1. Mahsup Dilekçesi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İade talebi, internet vergi dairesi üzerinden mükellefin KDV (KDV mükellefiyetinin bulunmaması halinde Gelir veya Kurumlar Vergisi) yönünden bağlı olduğu vergi dairesine verilecek bir standart iade talep dilekçesi ile elektronik ortamda yapılır.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7.1.2. Mahsup Dilekçesine Eklenecek Belgeler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İade taleplerinde dilekçe ekine aşağıdaki belgeler eklenir:</w:t>
      </w:r>
    </w:p>
    <w:p w:rsidR="00314A3D" w:rsidRPr="00314A3D" w:rsidRDefault="00314A3D" w:rsidP="00314A3D">
      <w:pPr>
        <w:spacing w:before="100" w:beforeAutospacing="1" w:after="100" w:afterAutospacing="1" w:line="240" w:lineRule="atLeast"/>
        <w:ind w:firstLine="566"/>
        <w:jc w:val="both"/>
        <w:rPr>
          <w:sz w:val="22"/>
          <w:szCs w:val="22"/>
        </w:rPr>
      </w:pPr>
      <w:proofErr w:type="gramStart"/>
      <w:r w:rsidRPr="00314A3D">
        <w:rPr>
          <w:sz w:val="22"/>
          <w:szCs w:val="22"/>
        </w:rPr>
        <w:t>i</w:t>
      </w:r>
      <w:proofErr w:type="gramEnd"/>
      <w:r w:rsidRPr="00314A3D">
        <w:rPr>
          <w:sz w:val="22"/>
          <w:szCs w:val="22"/>
        </w:rPr>
        <w:t>. İadeye konu ÖTV’leri içeren L.P.G. alımlarına ilişkin fatura ve benzeri belgelerin listesi. (İadeye konu L.P.G.nin dağıtıcılarca rafinericilerden ÖTV ödenmek suretiyle satın alınarak aerosol üreticisine teslim edilmiş olması halinde “2014/6881 Sayılı Kararname Kapsamında Teslim Edilmiş Olup Teslim Bedeline Dahil Edilen ÖTV Tutarı …. TL’dir.” şerhini içeren faturaların listesi.)</w:t>
      </w:r>
    </w:p>
    <w:p w:rsidR="008C6523" w:rsidRDefault="00314A3D" w:rsidP="004022D3">
      <w:pPr>
        <w:spacing w:before="100" w:beforeAutospacing="1" w:after="100" w:afterAutospacing="1" w:line="240" w:lineRule="atLeast"/>
        <w:ind w:firstLine="566"/>
        <w:jc w:val="both"/>
        <w:rPr>
          <w:sz w:val="22"/>
          <w:szCs w:val="22"/>
        </w:rPr>
      </w:pPr>
      <w:r w:rsidRPr="00314A3D">
        <w:rPr>
          <w:sz w:val="22"/>
          <w:szCs w:val="22"/>
        </w:rPr>
        <w:t xml:space="preserve">ii. İmal edilen aerosolde ne </w:t>
      </w:r>
      <w:proofErr w:type="gramStart"/>
      <w:r w:rsidRPr="00314A3D">
        <w:rPr>
          <w:sz w:val="22"/>
          <w:szCs w:val="22"/>
        </w:rPr>
        <w:t>kadar</w:t>
      </w:r>
      <w:proofErr w:type="gramEnd"/>
      <w:r w:rsidRPr="00314A3D">
        <w:rPr>
          <w:sz w:val="22"/>
          <w:szCs w:val="22"/>
        </w:rPr>
        <w:t xml:space="preserve"> iadeye konu L.P.G. kullanılması gerektiğine ve zayi miktarına ilişkin ilgili kuruluşlardan alınan ekspertiz raporları. (Bu raporların sanayi odası bulunan illerde sanayi odalarından, sanayi odası bulunmayan illerde sanayi ve ticaret odalarından alınması gerekmektedir. Ancak 18/5/2004 tarihli ve 5174 sayılı Türkiye Odalar ve Borsalar Birliği ile Odalar ve Borsalar Kanununun 5 inci maddesinin (7) numaralı fıkrasında yapılan sanayici tanımı gereği sanayi odasına kaydolma zorunluluğu bulunmayan 10 işçiye kadar işçi çalıştıran imalatçılarca söz konusu raporların sanayi ve ticaret odalarının ayrı ayrı bulunduğu illerde ticaret odalarından alınması mümkündür.)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iii. Ekspertiz raporlarına göre imalatta kullanılan miktarın uygunluğuna dair hesaplamaları içeren tablo.</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iv. ÖTV’ye tabi olmayan aerosol üretiminde L.P.G. kullanımından kaynaklı iade talepleri için imalatta kullanılmak üzere </w:t>
      </w:r>
      <w:proofErr w:type="gramStart"/>
      <w:r w:rsidRPr="00314A3D">
        <w:rPr>
          <w:sz w:val="22"/>
          <w:szCs w:val="22"/>
        </w:rPr>
        <w:t>temin</w:t>
      </w:r>
      <w:proofErr w:type="gramEnd"/>
      <w:r w:rsidRPr="00314A3D">
        <w:rPr>
          <w:sz w:val="22"/>
          <w:szCs w:val="22"/>
        </w:rPr>
        <w:t xml:space="preserve"> edilen L.P.G. nin iade talep edilen döneme ilişkin dönem başı stoku, dönem içi alışları, imalatta kullanılan miktarları ile dönem sonu stoklarını gösterir tablo.</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v. ÖTV’ye tabi olmayan aerosol üretiminde L.P.G. kullanımından kaynaklı iade talepleri için imal edilenaerosolün iade talep edilen döneme ilişkin dönem başı stoku, dönem içi imalat, dönem içi satış ve dönem sonu stok bilgilerini gösterir tablo.</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vi. ÖTV’ye tabi olan aerosol üretiminde L.P.G. kullanımından kaynaklı iade talepleri için imalatta kullanılan L.P.G. </w:t>
      </w:r>
      <w:proofErr w:type="gramStart"/>
      <w:r w:rsidRPr="00314A3D">
        <w:rPr>
          <w:sz w:val="22"/>
          <w:szCs w:val="22"/>
        </w:rPr>
        <w:t>nin</w:t>
      </w:r>
      <w:proofErr w:type="gramEnd"/>
      <w:r w:rsidRPr="00314A3D">
        <w:rPr>
          <w:sz w:val="22"/>
          <w:szCs w:val="22"/>
        </w:rPr>
        <w:t> satın alma ve imalatta kullanma tarihleri ile kullanım miktarlarını gösterir tablo.</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vii. ÖTV’ye tabi olan aerosol üretiminde L.P.G. kullanımından kaynaklı iade talepleri için imal edilen aerosolünsatış faturaları listesi.</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7.1.3. Mahsup Taleplerinin Yerine Getirilmesi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İade talepleri bu Tebliğin 7.1.2. </w:t>
      </w:r>
      <w:proofErr w:type="gramStart"/>
      <w:r w:rsidRPr="00314A3D">
        <w:rPr>
          <w:sz w:val="22"/>
          <w:szCs w:val="22"/>
        </w:rPr>
        <w:t>bölümünde</w:t>
      </w:r>
      <w:proofErr w:type="gramEnd"/>
      <w:r w:rsidRPr="00314A3D">
        <w:rPr>
          <w:sz w:val="22"/>
          <w:szCs w:val="22"/>
        </w:rPr>
        <w:t xml:space="preserve"> belirtilen belgeler tamamlanmadıkça hüküm ifade etmez.</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Mahsuben iade talepleri, vergi inceleme raporu dışında diğer belgelerin tamamlanması ve mahsuba konu ÖTV tutarının ödendiğine dair; dağıtıcılar tarafından ithal edilerek teslim edilen L.P.G. için dağıtıcının, rafinericilerden ÖTV ödenerek satın alınıp teslim edilen L.P.G. için rafinericinin bağlı olduğu vergi dairesinden teyit alınması, üreticilerce doğrudan ithal edilerek ÖTV’ye tabi olmayan aerosol üretiminde kullanılan L.P.G. içinse üreticinin vergi dairesince yapılacak kontrol üzerine yerine getirilir. Ayrıca bu taleplerin tamamı vergi incelemesine sevk edilir.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Vergi inceleme raporunda iadeye engel bir durumun tespit edilmiş olması halinde rapora göre işlem tesis edilir.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7.1.4. Belge Eksikliği ya da Belgelerin Muhteviyatındaki Eksiklikler Nedeniyle Yapılamayan Mahsup İşlemleri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Vergi borçlarına (ithalde alınanlar hariç) mahsup taleplerinde vergi daireleri, mahsup talep dilekçesi ve eklerini inceleyerek belge ya da belgelerdeki muhteviyat eksikliklerini tespit </w:t>
      </w:r>
      <w:proofErr w:type="gramStart"/>
      <w:r w:rsidRPr="00314A3D">
        <w:rPr>
          <w:sz w:val="22"/>
          <w:szCs w:val="22"/>
        </w:rPr>
        <w:t>eder</w:t>
      </w:r>
      <w:proofErr w:type="gramEnd"/>
      <w:r w:rsidRPr="00314A3D">
        <w:rPr>
          <w:sz w:val="22"/>
          <w:szCs w:val="22"/>
        </w:rPr>
        <w:t xml:space="preserve"> ve bu eksiklikleri </w:t>
      </w:r>
      <w:r w:rsidRPr="00314A3D">
        <w:rPr>
          <w:sz w:val="22"/>
          <w:szCs w:val="22"/>
        </w:rPr>
        <w:lastRenderedPageBreak/>
        <w:t>mükellefe yazı ile bildirir. Tebliğ tarihinden itibaren 30 gün içerisinde eksikliklerini tamamlayan mükelleflerin mahsup talepleri, mahsup dilekçesinin vergi dairesine verildiği tarih itibariyle yerine getirilir.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30 günlük ek süreden sonra eksikliklerini tamamlayan mükelleflerin mahsup talepleri, eksikliklerin tamamlandığı tarih itibariyle yerine getirilir ve borcun vadesinden mahsup tarihine </w:t>
      </w:r>
      <w:proofErr w:type="gramStart"/>
      <w:r w:rsidRPr="00314A3D">
        <w:rPr>
          <w:sz w:val="22"/>
          <w:szCs w:val="22"/>
        </w:rPr>
        <w:t>kadar</w:t>
      </w:r>
      <w:proofErr w:type="gramEnd"/>
      <w:r w:rsidRPr="00314A3D">
        <w:rPr>
          <w:sz w:val="22"/>
          <w:szCs w:val="22"/>
        </w:rPr>
        <w:t xml:space="preserve"> geçen süre için gecikme zammı uygulanır.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7.2. Nakden İade Talepleri</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7.2.1. Nakden İade Dilekçesi</w:t>
      </w:r>
    </w:p>
    <w:p w:rsidR="008C6523" w:rsidRPr="004022D3" w:rsidRDefault="00314A3D" w:rsidP="004022D3">
      <w:pPr>
        <w:spacing w:before="100" w:beforeAutospacing="1" w:after="100" w:afterAutospacing="1" w:line="240" w:lineRule="atLeast"/>
        <w:ind w:firstLine="566"/>
        <w:jc w:val="both"/>
        <w:rPr>
          <w:sz w:val="22"/>
          <w:szCs w:val="22"/>
        </w:rPr>
      </w:pPr>
      <w:proofErr w:type="gramStart"/>
      <w:r w:rsidRPr="00314A3D">
        <w:rPr>
          <w:sz w:val="22"/>
          <w:szCs w:val="22"/>
        </w:rPr>
        <w:t>İade talebi, internet vergi dairesi üzerinden mükellefin KDV (KDV mükellefiyetinin bulunmaması halinde Gelir veya Kurumlar Vergisi) yönünden bağlı olduğu vergi dairesine verilecek bir standart iade talep dilekçesi ile elektronik ortamda yapılır.</w:t>
      </w:r>
      <w:proofErr w:type="gramEnd"/>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7.2.2. Nakden İade Talebinin Yerine Getirilmesi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Nakden iade taleplerinin tamamı vergi inceleme raporuna göre sonuçlandırılır.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Ancak iade talep tutarı </w:t>
      </w:r>
      <w:proofErr w:type="gramStart"/>
      <w:r w:rsidRPr="00314A3D">
        <w:rPr>
          <w:sz w:val="22"/>
          <w:szCs w:val="22"/>
        </w:rPr>
        <w:t>kadar</w:t>
      </w:r>
      <w:proofErr w:type="gramEnd"/>
      <w:r w:rsidRPr="00314A3D">
        <w:rPr>
          <w:sz w:val="22"/>
          <w:szCs w:val="22"/>
        </w:rPr>
        <w:t xml:space="preserve"> teminat verilmesi halinde iade talebi, bu Tebliğin 7.1.2. </w:t>
      </w:r>
      <w:proofErr w:type="gramStart"/>
      <w:r w:rsidRPr="00314A3D">
        <w:rPr>
          <w:sz w:val="22"/>
          <w:szCs w:val="22"/>
        </w:rPr>
        <w:t>bölümünde</w:t>
      </w:r>
      <w:proofErr w:type="gramEnd"/>
      <w:r w:rsidRPr="00314A3D">
        <w:rPr>
          <w:sz w:val="22"/>
          <w:szCs w:val="22"/>
        </w:rPr>
        <w:t xml:space="preserve"> belirtilen belgelerin tamamlanması ve iadeye konu ÖTV tutarının ödendiğine dair; dağıtıcılar tarafından ithal edilerek teslim edilenL.P.G. </w:t>
      </w:r>
      <w:proofErr w:type="gramStart"/>
      <w:r w:rsidRPr="00314A3D">
        <w:rPr>
          <w:sz w:val="22"/>
          <w:szCs w:val="22"/>
        </w:rPr>
        <w:t>için</w:t>
      </w:r>
      <w:proofErr w:type="gramEnd"/>
      <w:r w:rsidRPr="00314A3D">
        <w:rPr>
          <w:sz w:val="22"/>
          <w:szCs w:val="22"/>
        </w:rPr>
        <w:t xml:space="preserve"> dağıtıcının, rafinericilerden ÖTV ödenerek satın alınıp teslim edilen L.P.G. için rafinericinin bağlı olduğu vergi dairesinden teyit alınması, üreticilerce doğrudan ithal edilerek ÖTV’ye tabi olmayan aerosol üretiminde kullanılan L.P.G. içinse üreticinin vergi dairesince yapılacak kontrol üzerine vergi inceleme raporunun sonucu beklenmeksizin 5 iş günü içerisinde gerçekleştirilir.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Teminat olarak Özel Tüketim Vergisi Kanununun 12 nci maddesinin (4) numaralı fıkrası uyarınca </w:t>
      </w:r>
      <w:proofErr w:type="gramStart"/>
      <w:r w:rsidRPr="00314A3D">
        <w:rPr>
          <w:sz w:val="22"/>
          <w:szCs w:val="22"/>
        </w:rPr>
        <w:t>banka</w:t>
      </w:r>
      <w:proofErr w:type="gramEnd"/>
      <w:r w:rsidRPr="00314A3D">
        <w:rPr>
          <w:sz w:val="22"/>
          <w:szCs w:val="22"/>
        </w:rPr>
        <w:t xml:space="preserve"> teminat mektubu veya nakit Türk Lirası verilmesi uygun görülmüştür. Şu kadar ki; banka teminat mektuplarının paraya çevrilmeleri konusunda hiç bir sınırlayıcı şart taşımamaları ve 19/10/2005 tarihli ve 5411 sayılı Bankacılık Kanunu hükümlerine göre faaliyette bulunan bankalar tarafından bu Tebliğ ekinde EK</w:t>
      </w:r>
      <w:proofErr w:type="gramStart"/>
      <w:r w:rsidRPr="00314A3D">
        <w:rPr>
          <w:sz w:val="22"/>
          <w:szCs w:val="22"/>
        </w:rPr>
        <w:t>:4</w:t>
      </w:r>
      <w:proofErr w:type="gramEnd"/>
      <w:r w:rsidRPr="00314A3D">
        <w:rPr>
          <w:sz w:val="22"/>
          <w:szCs w:val="22"/>
        </w:rPr>
        <w:t xml:space="preserve"> olarak yer alan “Kesin ve Süresiz Teminat Mektubu Örneği”ne uygun düzenlenmiş olmaları gerekir.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Banka teminat mektubu karşılığında yapılan iade taleplerinde, teminat mektuplarının teyidi yapılmadan iade talebi sonuçlandırılmaz.</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Teminat çözümü işlemi, vergi inceleme raporuna göre gerçekleştirilir. İlgili vergi dairesince teminat mektuplarının çözümü sırasında teminat mektubu, uygun bir yerine “ÖTV iadesi dolayısıyla alınan bu teminat mektubunun vergi dairemizde olan işlemi sona ermiştir.” şerhi düşülmek, tarih yazılmak ve mühür tatbiki suretiyle imzalanır. Bu şerhi gören bankalar, vergi dairesinden ayrıca bir teyit almaksızın gerekli işlemi yaparlar.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7.3. Mahsup Sonrası Alacağın Nakden İadesi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İade hakkı sahipleri, iade alacaklarının yukarıda belirtilen şekillerde mahsubundan sonra kalan kısmının nakden iadesini talep ederlerse bu Tebliğin 7.2. </w:t>
      </w:r>
      <w:proofErr w:type="gramStart"/>
      <w:r w:rsidRPr="00314A3D">
        <w:rPr>
          <w:sz w:val="22"/>
          <w:szCs w:val="22"/>
        </w:rPr>
        <w:t>bölümündeki</w:t>
      </w:r>
      <w:proofErr w:type="gramEnd"/>
      <w:r w:rsidRPr="00314A3D">
        <w:rPr>
          <w:sz w:val="22"/>
          <w:szCs w:val="22"/>
        </w:rPr>
        <w:t xml:space="preserve"> açıklamalara göre işlem yapılır.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7.4. Kamuya Ait Kuruluşların İade Talepleri</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Genel ve özel bütçeli idareler, </w:t>
      </w:r>
      <w:proofErr w:type="gramStart"/>
      <w:r w:rsidRPr="00314A3D">
        <w:rPr>
          <w:sz w:val="22"/>
          <w:szCs w:val="22"/>
        </w:rPr>
        <w:t>il</w:t>
      </w:r>
      <w:proofErr w:type="gramEnd"/>
      <w:r w:rsidRPr="00314A3D">
        <w:rPr>
          <w:sz w:val="22"/>
          <w:szCs w:val="22"/>
        </w:rPr>
        <w:t xml:space="preserve"> özel idareleri, belediyeler ve sermayesinin % 51’i veya daha fazlası bunlara ait olan kuruluşlar ile özelleştirme kapsam ve programına alınmış olup hisselerinin yarısından fazlası yukarıda sayılan kuruluşlara ait olanların iade talepleri, dilekçe ekinde iade için gerekli diğer belgelerin eksiksiz ibrazı üzerine vergi inceleme raporu aranmadan yerine getirilir.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7.5. İadeye İlişkin Diğer Hususlar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Bu Tebliğde vergi inceleme raporu ifadesi, vergi incelemesine yetkili olanlarca düzenlenmiş raporu ifade </w:t>
      </w:r>
      <w:proofErr w:type="gramStart"/>
      <w:r w:rsidRPr="00314A3D">
        <w:rPr>
          <w:sz w:val="22"/>
          <w:szCs w:val="22"/>
        </w:rPr>
        <w:t>eder</w:t>
      </w:r>
      <w:proofErr w:type="gramEnd"/>
      <w:r w:rsidRPr="00314A3D">
        <w:rPr>
          <w:sz w:val="22"/>
          <w:szCs w:val="22"/>
        </w:rPr>
        <w:t>.</w:t>
      </w:r>
    </w:p>
    <w:p w:rsidR="005D741D" w:rsidRPr="004022D3" w:rsidRDefault="00314A3D" w:rsidP="004022D3">
      <w:pPr>
        <w:spacing w:before="100" w:beforeAutospacing="1" w:after="100" w:afterAutospacing="1" w:line="240" w:lineRule="atLeast"/>
        <w:ind w:firstLine="566"/>
        <w:jc w:val="both"/>
        <w:rPr>
          <w:sz w:val="22"/>
          <w:szCs w:val="22"/>
        </w:rPr>
      </w:pPr>
      <w:r w:rsidRPr="00314A3D">
        <w:rPr>
          <w:sz w:val="22"/>
          <w:szCs w:val="22"/>
        </w:rPr>
        <w:t xml:space="preserve">Bu Tebliğin 7.1.1. </w:t>
      </w:r>
      <w:proofErr w:type="gramStart"/>
      <w:r w:rsidRPr="00314A3D">
        <w:rPr>
          <w:sz w:val="22"/>
          <w:szCs w:val="22"/>
        </w:rPr>
        <w:t>ve</w:t>
      </w:r>
      <w:proofErr w:type="gramEnd"/>
      <w:r w:rsidRPr="00314A3D">
        <w:rPr>
          <w:sz w:val="22"/>
          <w:szCs w:val="22"/>
        </w:rPr>
        <w:t xml:space="preserve"> 7.2.1. </w:t>
      </w:r>
      <w:proofErr w:type="gramStart"/>
      <w:r w:rsidRPr="00314A3D">
        <w:rPr>
          <w:sz w:val="22"/>
          <w:szCs w:val="22"/>
        </w:rPr>
        <w:t>bölümlerinde</w:t>
      </w:r>
      <w:proofErr w:type="gramEnd"/>
      <w:r w:rsidRPr="00314A3D">
        <w:rPr>
          <w:sz w:val="22"/>
          <w:szCs w:val="22"/>
        </w:rPr>
        <w:t xml:space="preserve"> belirtilen dilekçelerin ekine eklenmesi gereken ve Tebliğin 7.1.2. </w:t>
      </w:r>
      <w:proofErr w:type="gramStart"/>
      <w:r w:rsidRPr="00314A3D">
        <w:rPr>
          <w:sz w:val="22"/>
          <w:szCs w:val="22"/>
        </w:rPr>
        <w:t>bölümünde</w:t>
      </w:r>
      <w:proofErr w:type="gramEnd"/>
      <w:r w:rsidRPr="00314A3D">
        <w:rPr>
          <w:sz w:val="22"/>
          <w:szCs w:val="22"/>
        </w:rPr>
        <w:t xml:space="preserve"> belirtilen liste ve tablolar ile Gelir İdaresi Başkanlığınca istenebilecek diğer liste ve </w:t>
      </w:r>
      <w:r w:rsidRPr="00314A3D">
        <w:rPr>
          <w:sz w:val="22"/>
          <w:szCs w:val="22"/>
        </w:rPr>
        <w:lastRenderedPageBreak/>
        <w:t>tabloların adı geçen Başkanlıkça gerekli görülmesi halinde “www.gib.gov.tr” adresinde hizmet veren internet vergi dairesi üzerinden gönderilmesi zorunluluğu getirilebilir. Bu durumda söz konusu dilekçe ile liste ve tabloların gönderilmesi amacıyla kullanıcı kodu ve kişisel şifre alınması gerekmektedir. Kullanıcı kodu ve kişisel şifre alınabilmesi için 1 Seri No.lu Özel Tüketim Vergisi Genel Tebliği ekindeki EK</w:t>
      </w:r>
      <w:proofErr w:type="gramStart"/>
      <w:r w:rsidRPr="00314A3D">
        <w:rPr>
          <w:sz w:val="22"/>
          <w:szCs w:val="22"/>
        </w:rPr>
        <w:t>:15</w:t>
      </w:r>
      <w:proofErr w:type="gramEnd"/>
      <w:r w:rsidRPr="00314A3D">
        <w:rPr>
          <w:sz w:val="22"/>
          <w:szCs w:val="22"/>
        </w:rPr>
        <w:t xml:space="preserve"> ve EK:16 İnternet Hizmetleri Kullanım Başvuru Formunun, otomasyonlu vergi dairelerinden temin edilerek veya Gelir İdaresi Başkanlığının “www.gib.gov.tr” adresindeki İnternet Vergi Dairesi/Kurumlar-Gelir Vergi Dairesinden döküm alınarak düzenlenmesi ve ÖTV yönünden bağlı olunan vergi dairesine verilmesi gerekmektedir. </w:t>
      </w:r>
      <w:proofErr w:type="gramStart"/>
      <w:r w:rsidRPr="00314A3D">
        <w:rPr>
          <w:sz w:val="22"/>
          <w:szCs w:val="22"/>
        </w:rPr>
        <w:t>Bu başvuru üzerine mükelleflere kullanıcı kodu ve kişisel şifre verilecektir.</w:t>
      </w:r>
      <w:proofErr w:type="gramEnd"/>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8. SORUMLULUK</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Kararname kapsamında teslim edilen L.P.G., bu Tebliğde tanımlanan aerosol üretimi dışında kullanılamaz, satılamaz veya devredilemez.</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Bu Tebliğde açıklanan usul ve esaslara uymayan üreticiler veya dağıtıcılar hakkında 213 sayılı Vergi Usul Kanunu hükümleri uyarınca özel usulsüzlük cezası uygulanır.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Kararname kapsamında teslim alınan L.P.G. </w:t>
      </w:r>
      <w:proofErr w:type="gramStart"/>
      <w:r w:rsidRPr="00314A3D">
        <w:rPr>
          <w:sz w:val="22"/>
          <w:szCs w:val="22"/>
        </w:rPr>
        <w:t>nin</w:t>
      </w:r>
      <w:proofErr w:type="gramEnd"/>
      <w:r w:rsidRPr="00314A3D">
        <w:rPr>
          <w:sz w:val="22"/>
          <w:szCs w:val="22"/>
        </w:rPr>
        <w:t xml:space="preserve">, bu Tebliğde belirlenen usul ve esaslara uygun olarak üretimde kullanılmadığına dair yetkili makamlarca tespitte bulunulması ya da sahte veya muhteviyatı itibariyle yanıltıcı belge düzenlediğine ilişkin herhangi bir vergi inceleme raporunda tespitte bulunulması halinde, üreticiler vergi incelemesine sevk edilir ve bunların L.P.G. satın alma izin belgesine el konulur. Yapılan vergi incelemesi sonucunda herhangi bir vergi tarh edilmemesi veya tarh edilen vergi ile bu vergiye ilişkin gecikme zammı, gecikme faizi ve uygulanan cezaların ödenmesi halinde, el konulan L.P.G. satın </w:t>
      </w:r>
      <w:proofErr w:type="gramStart"/>
      <w:r w:rsidRPr="00314A3D">
        <w:rPr>
          <w:sz w:val="22"/>
          <w:szCs w:val="22"/>
        </w:rPr>
        <w:t>alma</w:t>
      </w:r>
      <w:proofErr w:type="gramEnd"/>
      <w:r w:rsidRPr="00314A3D">
        <w:rPr>
          <w:sz w:val="22"/>
          <w:szCs w:val="22"/>
        </w:rPr>
        <w:t xml:space="preserve"> izin belgesi iade edilir veya yenisi verilebilir. Ancak söz konusu incelemeler sonucunda Vergi Usul Kanununun 359 uncu maddesinde sayılan suçların işlendiğine ilişkin görüşleri içeren vergi suçu raporu düzenlenmesi halinde el konulan L.P.G. satın </w:t>
      </w:r>
      <w:proofErr w:type="gramStart"/>
      <w:r w:rsidRPr="00314A3D">
        <w:rPr>
          <w:sz w:val="22"/>
          <w:szCs w:val="22"/>
        </w:rPr>
        <w:t>alma</w:t>
      </w:r>
      <w:proofErr w:type="gramEnd"/>
      <w:r w:rsidRPr="00314A3D">
        <w:rPr>
          <w:sz w:val="22"/>
          <w:szCs w:val="22"/>
        </w:rPr>
        <w:t xml:space="preserve"> izin belgeleri iade edilmez veya yenisi düzenlenmez. Bu suçların kesinleşmesi halinde ise üreticilere yeni L.P.G. satın </w:t>
      </w:r>
      <w:proofErr w:type="gramStart"/>
      <w:r w:rsidRPr="00314A3D">
        <w:rPr>
          <w:sz w:val="22"/>
          <w:szCs w:val="22"/>
        </w:rPr>
        <w:t>alma</w:t>
      </w:r>
      <w:proofErr w:type="gramEnd"/>
      <w:r w:rsidRPr="00314A3D">
        <w:rPr>
          <w:sz w:val="22"/>
          <w:szCs w:val="22"/>
        </w:rPr>
        <w:t xml:space="preserve"> izin belgesi verilmez.</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Kararname kapsamında teslim edilmesi gereken L.P.G. </w:t>
      </w:r>
      <w:proofErr w:type="gramStart"/>
      <w:r w:rsidRPr="00314A3D">
        <w:rPr>
          <w:sz w:val="22"/>
          <w:szCs w:val="22"/>
        </w:rPr>
        <w:t>nin</w:t>
      </w:r>
      <w:proofErr w:type="gramEnd"/>
      <w:r w:rsidRPr="00314A3D">
        <w:rPr>
          <w:sz w:val="22"/>
          <w:szCs w:val="22"/>
        </w:rPr>
        <w:t>, bu Tebliğde belirlenen usul ve esaslara uygun olarak teslim edilmediğine dair yetkili makamlarca tespitte bulunulması ya da sahte veya muhteviyatı itibariyle yanıltıcı belge düzenlediğine ilişkin herhangi bir vergi inceleme raporunda tespitte bulunulması halinde, dağıtıcılar vergi incelemesine sevk edilir ve bunların dağıtım izin belgesine el konulur. Yapılan vergi incelemesi sonucunda herhangi bir vergi tarh edilmemesi veya tarh edilen vergi ile bu vergiye ilişkin gecikme zammı, gecikme faizi ve uygulanan cezaların ödenmesi halinde, el konulan dağıtım izin belgesi iade edilir veya yenisi verilebilir. Ancak söz konusu incelemeler sonucunda Vergi Usul Kanununun 359 uncu maddesinde sayılan suçların işlendiğine ilişkin görüşleri içeren vergi suçu raporu düzenlenmesi halinde el konulan dağıtım izin belgeleri iade edilmez veya yenisi düzenlenmez. Bu suçların kesinleşmesi halinde ise dağıtıcılara yeni dağıtım izin belgesi verilmez.</w:t>
      </w:r>
    </w:p>
    <w:p w:rsidR="00314A3D" w:rsidRPr="00314A3D" w:rsidRDefault="00314A3D" w:rsidP="00314A3D">
      <w:pPr>
        <w:spacing w:before="100" w:beforeAutospacing="1" w:after="100" w:afterAutospacing="1" w:line="240" w:lineRule="atLeast"/>
        <w:ind w:firstLine="566"/>
        <w:jc w:val="both"/>
        <w:rPr>
          <w:sz w:val="22"/>
          <w:szCs w:val="22"/>
        </w:rPr>
      </w:pPr>
      <w:r w:rsidRPr="00314A3D">
        <w:rPr>
          <w:b/>
          <w:bCs/>
          <w:sz w:val="22"/>
          <w:szCs w:val="22"/>
        </w:rPr>
        <w:t>9. DİĞER HUSUSLAR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18 Seri No.lu Özel Tüketim Vergisi Genel Tebliği</w:t>
      </w:r>
      <w:r w:rsidRPr="00314A3D">
        <w:rPr>
          <w:sz w:val="22"/>
          <w:szCs w:val="22"/>
          <w:vertAlign w:val="superscript"/>
        </w:rPr>
        <w:t>3</w:t>
      </w:r>
      <w:r w:rsidRPr="00314A3D">
        <w:rPr>
          <w:sz w:val="22"/>
          <w:szCs w:val="22"/>
        </w:rPr>
        <w:t> 17/10/2014 tarihinden itibaren geçerli olmak üzere yürürlükten kaldırılmıştır.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Kararnamenin yürürlük tarihinden önce 18 Seri No.lu Özel Tüketim Vergisi Genel Tebliği kapsamındaki dağıtıcılardan satın alınmış olan L.P.G. miktarları ile bu maldan üretilen aerosol miktarları için adı geçen Genel Tebliğdeki düzenlemeler çerçevesinde işlem yapılır.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 xml:space="preserve">Kararnamenin yürürlük tarihinden önce 18 Seri No.lu Özel Tüketim Vergisi Genel Tebliği kapsamındaki L.P.G. satın </w:t>
      </w:r>
      <w:proofErr w:type="gramStart"/>
      <w:r w:rsidRPr="00314A3D">
        <w:rPr>
          <w:sz w:val="22"/>
          <w:szCs w:val="22"/>
        </w:rPr>
        <w:t>alma</w:t>
      </w:r>
      <w:proofErr w:type="gramEnd"/>
      <w:r w:rsidRPr="00314A3D">
        <w:rPr>
          <w:sz w:val="22"/>
          <w:szCs w:val="22"/>
        </w:rPr>
        <w:t xml:space="preserve"> izin belgelerine istinaden ithal edilmiş olan ve stoklarda bulunan L.P.G. miktarlarının aerosol üretiminde kullanımı bu Tebliğdeki düzenlemelere tabidir.</w:t>
      </w: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18 Seri No.lu Özel Tüketim Vergisi Genel Tebliği kapsamında düzenlenmiş olan L.P.G. satın alma izin belgelerinin Kararnamenin yürürlük tarihinden itibaren 30 gün süreyle, dağıtım izin belgelerinin ise 1/1/2015 tarihine kadar bu Tebliğ uyarınca alınması gereken L.P.G. satın alma izin belgeleri ile dağıtım izin belgeleri yerine kullanılabilmesi mümkündür.</w:t>
      </w:r>
    </w:p>
    <w:p w:rsidR="00314A3D" w:rsidRDefault="00314A3D" w:rsidP="00314A3D">
      <w:pPr>
        <w:spacing w:before="100" w:beforeAutospacing="1" w:after="100" w:afterAutospacing="1" w:line="240" w:lineRule="atLeast"/>
        <w:ind w:firstLine="566"/>
        <w:jc w:val="both"/>
        <w:rPr>
          <w:sz w:val="22"/>
          <w:szCs w:val="22"/>
        </w:rPr>
      </w:pPr>
    </w:p>
    <w:p w:rsidR="00314A3D" w:rsidRDefault="00314A3D" w:rsidP="00314A3D">
      <w:pPr>
        <w:spacing w:before="100" w:beforeAutospacing="1" w:after="100" w:afterAutospacing="1" w:line="240" w:lineRule="atLeast"/>
        <w:ind w:firstLine="566"/>
        <w:jc w:val="both"/>
        <w:rPr>
          <w:sz w:val="22"/>
          <w:szCs w:val="22"/>
        </w:rPr>
      </w:pPr>
    </w:p>
    <w:p w:rsidR="00314A3D" w:rsidRDefault="00314A3D" w:rsidP="00314A3D">
      <w:pPr>
        <w:spacing w:before="100" w:beforeAutospacing="1" w:after="100" w:afterAutospacing="1" w:line="240" w:lineRule="atLeast"/>
        <w:ind w:firstLine="566"/>
        <w:jc w:val="both"/>
        <w:rPr>
          <w:sz w:val="22"/>
          <w:szCs w:val="22"/>
        </w:rPr>
      </w:pPr>
    </w:p>
    <w:p w:rsidR="00314A3D" w:rsidRDefault="00314A3D" w:rsidP="00314A3D">
      <w:pPr>
        <w:spacing w:before="100" w:beforeAutospacing="1" w:after="100" w:afterAutospacing="1" w:line="240" w:lineRule="atLeast"/>
        <w:ind w:firstLine="566"/>
        <w:jc w:val="both"/>
        <w:rPr>
          <w:sz w:val="22"/>
          <w:szCs w:val="22"/>
        </w:rPr>
      </w:pPr>
    </w:p>
    <w:p w:rsidR="00314A3D" w:rsidRPr="00314A3D" w:rsidRDefault="00314A3D" w:rsidP="00314A3D">
      <w:pPr>
        <w:spacing w:before="100" w:beforeAutospacing="1" w:after="100" w:afterAutospacing="1" w:line="240" w:lineRule="atLeast"/>
        <w:ind w:firstLine="566"/>
        <w:jc w:val="both"/>
        <w:rPr>
          <w:sz w:val="22"/>
          <w:szCs w:val="22"/>
        </w:rPr>
      </w:pPr>
      <w:r w:rsidRPr="00314A3D">
        <w:rPr>
          <w:sz w:val="22"/>
          <w:szCs w:val="22"/>
        </w:rPr>
        <w:t>18 Seri No.lu Özel Tüketim Vergisi Genel Tebliği kapsamında düzenlenmiş olan dağıtım izin belgelerinin şartlarından biri olan aerosol üretiminde kullanılabilecek L.P.G. yi üretecek kapasitede tesisinin bulunduğuna ve bu tesisten elde edilen numunenin aerosol üretiminde kullanılmaya uygun standardize edilmiş L.P.G. olduğuna dair Gelir İdaresi Başkanlığınca ilan edilen Türk Akreditasyon Kurumu tarafından akredite edilmiş genel ve özel bütçeli idarelere aitlaboratuvarlardan alınan raporlar, bu Tebliğ uygulamasında da geçerli rapor olarak kabul edilir.</w:t>
      </w:r>
    </w:p>
    <w:p w:rsidR="00314A3D" w:rsidRPr="00314A3D" w:rsidRDefault="00314A3D" w:rsidP="004022D3">
      <w:pPr>
        <w:spacing w:before="100" w:beforeAutospacing="1" w:after="100" w:afterAutospacing="1" w:line="240" w:lineRule="atLeast"/>
        <w:ind w:firstLine="566"/>
        <w:jc w:val="both"/>
        <w:rPr>
          <w:sz w:val="22"/>
          <w:szCs w:val="22"/>
        </w:rPr>
      </w:pPr>
      <w:proofErr w:type="gramStart"/>
      <w:r w:rsidRPr="00314A3D">
        <w:rPr>
          <w:sz w:val="22"/>
          <w:szCs w:val="22"/>
        </w:rPr>
        <w:t>Tebliğ olunur.</w:t>
      </w:r>
      <w:proofErr w:type="gramEnd"/>
      <w:r w:rsidRPr="00314A3D">
        <w:rPr>
          <w:sz w:val="22"/>
          <w:szCs w:val="22"/>
        </w:rPr>
        <w:t> </w:t>
      </w:r>
    </w:p>
    <w:p w:rsidR="00314A3D" w:rsidRPr="00314A3D" w:rsidRDefault="00314A3D" w:rsidP="00314A3D">
      <w:pPr>
        <w:spacing w:before="100" w:beforeAutospacing="1" w:after="100" w:afterAutospacing="1" w:line="240" w:lineRule="atLeast"/>
        <w:jc w:val="both"/>
        <w:rPr>
          <w:sz w:val="22"/>
          <w:szCs w:val="22"/>
        </w:rPr>
      </w:pPr>
      <w:r w:rsidRPr="00314A3D">
        <w:rPr>
          <w:sz w:val="22"/>
          <w:szCs w:val="22"/>
        </w:rPr>
        <w:t>——————————</w:t>
      </w:r>
    </w:p>
    <w:p w:rsidR="00314A3D" w:rsidRPr="00314A3D" w:rsidRDefault="00314A3D" w:rsidP="00314A3D">
      <w:pPr>
        <w:spacing w:before="100" w:beforeAutospacing="1" w:after="100" w:afterAutospacing="1" w:line="240" w:lineRule="atLeast"/>
        <w:jc w:val="both"/>
        <w:rPr>
          <w:sz w:val="22"/>
          <w:szCs w:val="22"/>
        </w:rPr>
      </w:pPr>
      <w:r w:rsidRPr="00314A3D">
        <w:rPr>
          <w:sz w:val="22"/>
          <w:szCs w:val="22"/>
          <w:vertAlign w:val="superscript"/>
        </w:rPr>
        <w:t>1</w:t>
      </w:r>
      <w:r w:rsidRPr="00314A3D">
        <w:rPr>
          <w:sz w:val="22"/>
          <w:szCs w:val="22"/>
        </w:rPr>
        <w:t> 30/7/2002 tarihli ve 24831 sayılı Resmî Gazete’de yayımlanmıştır.</w:t>
      </w:r>
    </w:p>
    <w:p w:rsidR="00314A3D" w:rsidRPr="00314A3D" w:rsidRDefault="00314A3D" w:rsidP="00314A3D">
      <w:pPr>
        <w:spacing w:before="100" w:beforeAutospacing="1" w:after="100" w:afterAutospacing="1" w:line="240" w:lineRule="atLeast"/>
        <w:jc w:val="both"/>
        <w:rPr>
          <w:sz w:val="22"/>
          <w:szCs w:val="22"/>
        </w:rPr>
      </w:pPr>
      <w:r w:rsidRPr="00314A3D">
        <w:rPr>
          <w:sz w:val="22"/>
          <w:szCs w:val="22"/>
          <w:vertAlign w:val="superscript"/>
        </w:rPr>
        <w:t>2</w:t>
      </w:r>
      <w:r w:rsidRPr="00314A3D">
        <w:rPr>
          <w:sz w:val="22"/>
          <w:szCs w:val="22"/>
        </w:rPr>
        <w:t> 8/7/2008 tarihli ve 26930 sayılı Resmî Gazete’de yayımlanmıştır.</w:t>
      </w:r>
    </w:p>
    <w:p w:rsidR="00314A3D" w:rsidRPr="00314A3D" w:rsidRDefault="00314A3D" w:rsidP="00314A3D">
      <w:pPr>
        <w:spacing w:before="100" w:beforeAutospacing="1" w:after="100" w:afterAutospacing="1" w:line="240" w:lineRule="atLeast"/>
        <w:jc w:val="both"/>
        <w:rPr>
          <w:sz w:val="22"/>
          <w:szCs w:val="22"/>
        </w:rPr>
      </w:pPr>
      <w:r w:rsidRPr="00314A3D">
        <w:rPr>
          <w:sz w:val="22"/>
          <w:szCs w:val="22"/>
          <w:vertAlign w:val="superscript"/>
        </w:rPr>
        <w:t>3</w:t>
      </w:r>
      <w:r w:rsidRPr="00314A3D">
        <w:rPr>
          <w:sz w:val="22"/>
          <w:szCs w:val="22"/>
        </w:rPr>
        <w:t> 6/3/2010 tarihli ve 27513 sayılı Resmî Gazete’de yayımlanmıştır.</w:t>
      </w:r>
    </w:p>
    <w:p w:rsidR="00314A3D" w:rsidRPr="00314A3D" w:rsidRDefault="00314A3D" w:rsidP="00314A3D">
      <w:pPr>
        <w:spacing w:before="100" w:beforeAutospacing="1" w:after="100" w:afterAutospacing="1" w:line="240" w:lineRule="atLeast"/>
        <w:jc w:val="both"/>
        <w:rPr>
          <w:sz w:val="22"/>
          <w:szCs w:val="22"/>
        </w:rPr>
      </w:pPr>
      <w:r w:rsidRPr="00314A3D">
        <w:rPr>
          <w:sz w:val="22"/>
          <w:szCs w:val="22"/>
        </w:rPr>
        <w:t> </w:t>
      </w:r>
    </w:p>
    <w:p w:rsidR="00314A3D" w:rsidRPr="00314A3D" w:rsidRDefault="00314A3D" w:rsidP="00314A3D">
      <w:pPr>
        <w:spacing w:before="100" w:beforeAutospacing="1" w:after="100" w:afterAutospacing="1" w:line="240" w:lineRule="atLeast"/>
        <w:jc w:val="both"/>
        <w:rPr>
          <w:sz w:val="22"/>
          <w:szCs w:val="22"/>
        </w:rPr>
      </w:pPr>
      <w:r w:rsidRPr="00314A3D">
        <w:rPr>
          <w:sz w:val="22"/>
          <w:szCs w:val="22"/>
        </w:rPr>
        <w:t> </w:t>
      </w:r>
    </w:p>
    <w:p w:rsidR="00314A3D" w:rsidRDefault="000C5AB1" w:rsidP="00314A3D">
      <w:pPr>
        <w:spacing w:before="100" w:beforeAutospacing="1" w:after="100" w:afterAutospacing="1" w:line="240" w:lineRule="atLeast"/>
        <w:jc w:val="both"/>
        <w:rPr>
          <w:b/>
          <w:bCs/>
          <w:sz w:val="22"/>
          <w:szCs w:val="22"/>
        </w:rPr>
      </w:pPr>
      <w:hyperlink r:id="rId9" w:history="1">
        <w:r w:rsidR="00314A3D" w:rsidRPr="00314A3D">
          <w:rPr>
            <w:b/>
            <w:bCs/>
            <w:color w:val="800080"/>
            <w:sz w:val="22"/>
            <w:szCs w:val="22"/>
          </w:rPr>
          <w:t>Ekleri için tıklayınız.</w:t>
        </w:r>
      </w:hyperlink>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314A3D" w:rsidRDefault="00314A3D" w:rsidP="00314A3D">
      <w:pPr>
        <w:spacing w:before="100" w:beforeAutospacing="1" w:after="100" w:afterAutospacing="1" w:line="240" w:lineRule="atLeast"/>
        <w:jc w:val="both"/>
        <w:rPr>
          <w:b/>
          <w:bCs/>
          <w:sz w:val="22"/>
          <w:szCs w:val="22"/>
        </w:rPr>
      </w:pPr>
    </w:p>
    <w:p w:rsidR="004022D3" w:rsidRDefault="004022D3" w:rsidP="00314A3D">
      <w:pPr>
        <w:rPr>
          <w:b/>
          <w:bCs/>
          <w:sz w:val="20"/>
        </w:rPr>
      </w:pPr>
    </w:p>
    <w:p w:rsidR="004022D3" w:rsidRDefault="004022D3" w:rsidP="00314A3D">
      <w:pPr>
        <w:rPr>
          <w:b/>
          <w:bCs/>
          <w:sz w:val="20"/>
        </w:rPr>
      </w:pPr>
    </w:p>
    <w:p w:rsidR="004022D3" w:rsidRDefault="004022D3" w:rsidP="00314A3D">
      <w:pPr>
        <w:rPr>
          <w:b/>
          <w:bCs/>
          <w:sz w:val="20"/>
        </w:rPr>
      </w:pPr>
    </w:p>
    <w:p w:rsidR="004022D3" w:rsidRDefault="004022D3" w:rsidP="00314A3D">
      <w:pPr>
        <w:rPr>
          <w:b/>
          <w:bCs/>
          <w:sz w:val="20"/>
        </w:rPr>
      </w:pPr>
    </w:p>
    <w:p w:rsidR="004022D3" w:rsidRDefault="004022D3" w:rsidP="00314A3D">
      <w:pPr>
        <w:rPr>
          <w:b/>
          <w:bCs/>
          <w:sz w:val="20"/>
        </w:rPr>
      </w:pPr>
    </w:p>
    <w:p w:rsidR="004022D3" w:rsidRDefault="004022D3" w:rsidP="00314A3D">
      <w:pPr>
        <w:rPr>
          <w:b/>
          <w:bCs/>
          <w:sz w:val="20"/>
        </w:rPr>
      </w:pPr>
    </w:p>
    <w:p w:rsidR="00314A3D" w:rsidRPr="00624571" w:rsidRDefault="00314A3D" w:rsidP="00314A3D">
      <w:pPr>
        <w:rPr>
          <w:b/>
          <w:bCs/>
          <w:sz w:val="20"/>
        </w:rPr>
      </w:pPr>
      <w:r w:rsidRPr="00624571">
        <w:rPr>
          <w:b/>
          <w:bCs/>
          <w:sz w:val="20"/>
        </w:rPr>
        <w:t xml:space="preserve">EK: 1 </w:t>
      </w:r>
    </w:p>
    <w:p w:rsidR="00314A3D" w:rsidRPr="00624571" w:rsidRDefault="00314A3D" w:rsidP="00314A3D">
      <w:pPr>
        <w:jc w:val="center"/>
        <w:rPr>
          <w:b/>
          <w:bCs/>
          <w:sz w:val="20"/>
        </w:rPr>
      </w:pPr>
    </w:p>
    <w:p w:rsidR="00314A3D" w:rsidRPr="00624571" w:rsidRDefault="00314A3D" w:rsidP="00314A3D">
      <w:pPr>
        <w:jc w:val="center"/>
        <w:rPr>
          <w:b/>
          <w:bCs/>
          <w:sz w:val="20"/>
        </w:rPr>
      </w:pPr>
      <w:r w:rsidRPr="00624571">
        <w:rPr>
          <w:b/>
          <w:bCs/>
          <w:sz w:val="20"/>
        </w:rPr>
        <w:t>T.C.</w:t>
      </w:r>
    </w:p>
    <w:p w:rsidR="00314A3D" w:rsidRPr="00624571" w:rsidRDefault="00314A3D" w:rsidP="00314A3D">
      <w:pPr>
        <w:jc w:val="center"/>
        <w:rPr>
          <w:b/>
          <w:bCs/>
          <w:sz w:val="20"/>
        </w:rPr>
      </w:pPr>
      <w:r w:rsidRPr="00624571">
        <w:rPr>
          <w:b/>
          <w:bCs/>
          <w:sz w:val="20"/>
        </w:rPr>
        <w:t>MALİYE BAKANLIĞI</w:t>
      </w:r>
    </w:p>
    <w:p w:rsidR="00314A3D" w:rsidRPr="00624571" w:rsidRDefault="00314A3D" w:rsidP="00314A3D">
      <w:pPr>
        <w:jc w:val="center"/>
        <w:rPr>
          <w:b/>
          <w:bCs/>
          <w:sz w:val="20"/>
        </w:rPr>
      </w:pPr>
      <w:r w:rsidRPr="00624571">
        <w:rPr>
          <w:b/>
          <w:bCs/>
          <w:sz w:val="20"/>
        </w:rPr>
        <w:t xml:space="preserve">Gelir İdaresi </w:t>
      </w:r>
      <w:proofErr w:type="gramStart"/>
      <w:r w:rsidRPr="00624571">
        <w:rPr>
          <w:b/>
          <w:bCs/>
          <w:sz w:val="20"/>
        </w:rPr>
        <w:t xml:space="preserve">Başkanlığı </w:t>
      </w:r>
      <w:proofErr w:type="gramEnd"/>
      <w:r w:rsidRPr="00624571">
        <w:rPr>
          <w:sz w:val="20"/>
        </w:rPr>
        <w:br/>
      </w:r>
      <w:r w:rsidRPr="00624571">
        <w:rPr>
          <w:b/>
          <w:bCs/>
          <w:sz w:val="20"/>
        </w:rPr>
        <w:t>.......................... Vergi Dairesi Başkanlığı/Defterdarlığı</w:t>
      </w:r>
      <w:r w:rsidRPr="00624571">
        <w:rPr>
          <w:b/>
          <w:bCs/>
          <w:sz w:val="20"/>
        </w:rPr>
        <w:br/>
      </w:r>
      <w:r w:rsidRPr="00624571">
        <w:rPr>
          <w:sz w:val="20"/>
        </w:rPr>
        <w:br/>
      </w:r>
      <w:r w:rsidRPr="00624571">
        <w:rPr>
          <w:b/>
          <w:bCs/>
          <w:sz w:val="20"/>
        </w:rPr>
        <w:t xml:space="preserve"> </w:t>
      </w:r>
      <w:r w:rsidRPr="00624571">
        <w:rPr>
          <w:b/>
          <w:bCs/>
          <w:sz w:val="20"/>
        </w:rPr>
        <w:br/>
      </w:r>
      <w:r w:rsidRPr="00624571">
        <w:rPr>
          <w:sz w:val="20"/>
        </w:rPr>
        <w:br/>
      </w: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center"/>
        <w:rPr>
          <w:b/>
          <w:bCs/>
          <w:sz w:val="20"/>
        </w:rPr>
      </w:pPr>
      <w:r w:rsidRPr="00624571">
        <w:rPr>
          <w:b/>
          <w:bCs/>
          <w:sz w:val="20"/>
        </w:rPr>
        <w:t>DAĞITIM İZİN BELGESİ</w:t>
      </w: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center"/>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
          <w:bCs/>
          <w:sz w:val="20"/>
        </w:rPr>
        <w:tab/>
      </w:r>
      <w:r w:rsidRPr="00624571">
        <w:rPr>
          <w:bCs/>
          <w:sz w:val="20"/>
        </w:rPr>
        <w:t xml:space="preserve">Aşağıda mükellefiyet bilgileri yer </w:t>
      </w:r>
      <w:proofErr w:type="gramStart"/>
      <w:r w:rsidRPr="00624571">
        <w:rPr>
          <w:bCs/>
          <w:sz w:val="20"/>
        </w:rPr>
        <w:t>alan</w:t>
      </w:r>
      <w:proofErr w:type="gramEnd"/>
      <w:r w:rsidRPr="00624571">
        <w:rPr>
          <w:bCs/>
          <w:sz w:val="20"/>
        </w:rPr>
        <w:t xml:space="preserve"> ………………………………</w:t>
      </w:r>
      <w:r w:rsidRPr="00624571">
        <w:rPr>
          <w:sz w:val="20"/>
        </w:rPr>
        <w:t xml:space="preserve">.. 30/9/2014 tarihli ve 2014/6881 sayılı Bakanlar Kurulu Kararı ile yürürlüğe konulan Karar kapsamında </w:t>
      </w:r>
      <w:r w:rsidRPr="00624571">
        <w:rPr>
          <w:bCs/>
          <w:sz w:val="20"/>
        </w:rPr>
        <w:t>Özel Tüketim Vergisi Genel Tebliğlerinde tanımlanmış olan aerosol üreticilerine, bu Tebliğlerde açıklanan usul ve esaslar çerçevesinde …../…/……</w:t>
      </w:r>
      <w:proofErr w:type="gramStart"/>
      <w:r w:rsidRPr="00624571">
        <w:rPr>
          <w:bCs/>
          <w:sz w:val="20"/>
        </w:rPr>
        <w:t>.  tarihine</w:t>
      </w:r>
      <w:proofErr w:type="gramEnd"/>
      <w:r w:rsidRPr="00624571">
        <w:rPr>
          <w:bCs/>
          <w:sz w:val="20"/>
        </w:rPr>
        <w:t xml:space="preserve"> kadar L.P.G. teslim etmeye yetkilidir.</w:t>
      </w: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ab/>
      </w:r>
      <w:r w:rsidRPr="00624571">
        <w:rPr>
          <w:b/>
          <w:bCs/>
          <w:sz w:val="20"/>
        </w:rPr>
        <w:tab/>
      </w:r>
      <w:r w:rsidRPr="00624571">
        <w:rPr>
          <w:b/>
          <w:bCs/>
          <w:sz w:val="20"/>
        </w:rPr>
        <w:tab/>
      </w:r>
      <w:r w:rsidRPr="00624571">
        <w:rPr>
          <w:b/>
          <w:bCs/>
          <w:sz w:val="20"/>
        </w:rPr>
        <w:tab/>
      </w:r>
      <w:r w:rsidRPr="00624571">
        <w:rPr>
          <w:b/>
          <w:bCs/>
          <w:sz w:val="20"/>
        </w:rPr>
        <w:tab/>
      </w:r>
      <w:r w:rsidRPr="00624571">
        <w:rPr>
          <w:b/>
          <w:bCs/>
          <w:sz w:val="20"/>
        </w:rPr>
        <w:tab/>
        <w:t>Tarih-İmza-Mühür</w:t>
      </w: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DAĞITICININ:</w:t>
      </w: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360"/>
        <w:gridCol w:w="4605"/>
      </w:tblGrid>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Unvanı</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sz w:val="20"/>
              </w:rPr>
              <w:t xml:space="preserve">Vergi Dairesi </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Vergi Kimlik No</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Dağıtıcı Lisans Tarih ve No (EPDK)</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Adres</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9210" w:type="dxa"/>
            <w:gridSpan w:val="3"/>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Telefon No</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Faks No</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sz w:val="20"/>
              </w:rPr>
              <w:t>E-Posta</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bl>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 xml:space="preserve">                                                                                                                                                                    </w:t>
      </w: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spacing w:line="240" w:lineRule="exact"/>
        <w:jc w:val="both"/>
        <w:rPr>
          <w:sz w:val="20"/>
        </w:rPr>
      </w:pPr>
    </w:p>
    <w:p w:rsidR="00314A3D" w:rsidRPr="00624571" w:rsidRDefault="00314A3D" w:rsidP="00314A3D">
      <w:pPr>
        <w:tabs>
          <w:tab w:val="left" w:pos="9102"/>
        </w:tabs>
        <w:rPr>
          <w:b/>
          <w:bCs/>
          <w:sz w:val="20"/>
        </w:rPr>
      </w:pPr>
    </w:p>
    <w:p w:rsidR="00314A3D" w:rsidRPr="00624571" w:rsidRDefault="00314A3D" w:rsidP="00314A3D">
      <w:pPr>
        <w:rPr>
          <w:sz w:val="20"/>
        </w:rPr>
      </w:pPr>
    </w:p>
    <w:p w:rsidR="00314A3D" w:rsidRPr="00624571" w:rsidRDefault="00314A3D" w:rsidP="00314A3D">
      <w:pPr>
        <w:rPr>
          <w:sz w:val="20"/>
        </w:rPr>
      </w:pPr>
    </w:p>
    <w:p w:rsidR="00314A3D" w:rsidRPr="00624571" w:rsidRDefault="00314A3D" w:rsidP="00314A3D">
      <w:pPr>
        <w:rPr>
          <w:sz w:val="20"/>
        </w:rPr>
      </w:pPr>
    </w:p>
    <w:p w:rsidR="00314A3D" w:rsidRDefault="00314A3D" w:rsidP="00314A3D">
      <w:pPr>
        <w:spacing w:before="100" w:beforeAutospacing="1" w:after="100" w:afterAutospacing="1" w:line="240" w:lineRule="atLeast"/>
        <w:jc w:val="both"/>
        <w:rPr>
          <w:sz w:val="22"/>
          <w:szCs w:val="22"/>
        </w:rPr>
      </w:pPr>
    </w:p>
    <w:p w:rsidR="00314A3D" w:rsidRDefault="00314A3D" w:rsidP="00314A3D">
      <w:pPr>
        <w:spacing w:before="100" w:beforeAutospacing="1" w:after="100" w:afterAutospacing="1" w:line="240" w:lineRule="atLeast"/>
        <w:jc w:val="both"/>
        <w:rPr>
          <w:sz w:val="22"/>
          <w:szCs w:val="22"/>
        </w:rPr>
      </w:pPr>
    </w:p>
    <w:p w:rsidR="00314A3D" w:rsidRDefault="00314A3D" w:rsidP="00314A3D">
      <w:pPr>
        <w:spacing w:before="100" w:beforeAutospacing="1" w:after="100" w:afterAutospacing="1" w:line="240" w:lineRule="atLeast"/>
        <w:jc w:val="both"/>
        <w:rPr>
          <w:sz w:val="22"/>
          <w:szCs w:val="22"/>
        </w:rPr>
      </w:pPr>
    </w:p>
    <w:p w:rsidR="00314A3D" w:rsidRDefault="00314A3D" w:rsidP="00314A3D">
      <w:pPr>
        <w:spacing w:before="100" w:beforeAutospacing="1" w:after="100" w:afterAutospacing="1" w:line="240" w:lineRule="atLeast"/>
        <w:jc w:val="both"/>
        <w:rPr>
          <w:sz w:val="22"/>
          <w:szCs w:val="22"/>
        </w:rPr>
      </w:pPr>
    </w:p>
    <w:p w:rsidR="00314A3D" w:rsidRDefault="00314A3D" w:rsidP="00314A3D">
      <w:pPr>
        <w:spacing w:before="100" w:beforeAutospacing="1" w:after="100" w:afterAutospacing="1" w:line="240" w:lineRule="atLeast"/>
        <w:jc w:val="both"/>
        <w:rPr>
          <w:sz w:val="22"/>
          <w:szCs w:val="22"/>
        </w:rPr>
      </w:pPr>
    </w:p>
    <w:p w:rsidR="00314A3D" w:rsidRDefault="00314A3D" w:rsidP="00314A3D">
      <w:pPr>
        <w:spacing w:before="100" w:beforeAutospacing="1" w:after="100" w:afterAutospacing="1" w:line="240" w:lineRule="atLeast"/>
        <w:jc w:val="both"/>
        <w:rPr>
          <w:sz w:val="22"/>
          <w:szCs w:val="22"/>
        </w:rPr>
      </w:pPr>
    </w:p>
    <w:p w:rsidR="004022D3" w:rsidRDefault="004022D3"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4022D3" w:rsidRDefault="004022D3"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4022D3" w:rsidRDefault="004022D3"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4022D3" w:rsidRDefault="004022D3"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EK: 2</w:t>
      </w:r>
    </w:p>
    <w:p w:rsidR="00314A3D" w:rsidRPr="00624571" w:rsidRDefault="00314A3D" w:rsidP="00314A3D">
      <w:pPr>
        <w:rPr>
          <w:b/>
          <w:bCs/>
          <w:sz w:val="20"/>
        </w:rPr>
      </w:pPr>
    </w:p>
    <w:p w:rsidR="00314A3D" w:rsidRPr="00624571" w:rsidRDefault="00314A3D" w:rsidP="00314A3D">
      <w:pPr>
        <w:jc w:val="center"/>
        <w:rPr>
          <w:b/>
          <w:bCs/>
          <w:sz w:val="20"/>
        </w:rPr>
      </w:pPr>
      <w:r w:rsidRPr="00624571">
        <w:rPr>
          <w:b/>
          <w:bCs/>
          <w:sz w:val="20"/>
        </w:rPr>
        <w:t>T.C.</w:t>
      </w:r>
    </w:p>
    <w:p w:rsidR="00314A3D" w:rsidRPr="00624571" w:rsidRDefault="00314A3D" w:rsidP="00314A3D">
      <w:pPr>
        <w:jc w:val="center"/>
        <w:rPr>
          <w:b/>
          <w:bCs/>
          <w:sz w:val="20"/>
        </w:rPr>
      </w:pPr>
      <w:r w:rsidRPr="00624571">
        <w:rPr>
          <w:b/>
          <w:bCs/>
          <w:sz w:val="20"/>
        </w:rPr>
        <w:t>MALİYE BAKANLIĞI</w:t>
      </w:r>
    </w:p>
    <w:p w:rsidR="00314A3D" w:rsidRPr="00624571" w:rsidRDefault="00314A3D" w:rsidP="00314A3D">
      <w:pPr>
        <w:jc w:val="center"/>
        <w:rPr>
          <w:sz w:val="20"/>
        </w:rPr>
      </w:pPr>
      <w:r w:rsidRPr="00624571">
        <w:rPr>
          <w:b/>
          <w:bCs/>
          <w:sz w:val="20"/>
        </w:rPr>
        <w:t xml:space="preserve">Gelir İdaresi </w:t>
      </w:r>
      <w:proofErr w:type="gramStart"/>
      <w:r w:rsidRPr="00624571">
        <w:rPr>
          <w:b/>
          <w:bCs/>
          <w:sz w:val="20"/>
        </w:rPr>
        <w:t xml:space="preserve">Başkanlığı </w:t>
      </w:r>
      <w:proofErr w:type="gramEnd"/>
      <w:r w:rsidRPr="00624571">
        <w:rPr>
          <w:sz w:val="20"/>
        </w:rPr>
        <w:br/>
      </w:r>
      <w:r w:rsidRPr="00624571">
        <w:rPr>
          <w:b/>
          <w:bCs/>
          <w:sz w:val="20"/>
        </w:rPr>
        <w:t>.......................... Vergi Dairesi Başkanlığı/Defterdarlığı</w:t>
      </w:r>
      <w:r w:rsidRPr="00624571">
        <w:rPr>
          <w:b/>
          <w:bCs/>
          <w:sz w:val="20"/>
        </w:rPr>
        <w:br/>
        <w:t>…................... Vergi Dairesi Müdürlüğü</w:t>
      </w:r>
      <w:r w:rsidRPr="00624571">
        <w:rPr>
          <w:b/>
          <w:bCs/>
          <w:sz w:val="20"/>
        </w:rPr>
        <w:br/>
      </w:r>
      <w:r w:rsidRPr="00624571">
        <w:rPr>
          <w:sz w:val="20"/>
        </w:rPr>
        <w:br/>
      </w:r>
    </w:p>
    <w:p w:rsidR="00314A3D" w:rsidRPr="00624571" w:rsidRDefault="00314A3D" w:rsidP="00314A3D">
      <w:pPr>
        <w:ind w:firstLine="708"/>
        <w:jc w:val="center"/>
        <w:rPr>
          <w:sz w:val="20"/>
        </w:rPr>
      </w:pPr>
    </w:p>
    <w:p w:rsidR="00314A3D" w:rsidRPr="00624571" w:rsidRDefault="00314A3D" w:rsidP="00314A3D">
      <w:pPr>
        <w:ind w:firstLine="708"/>
        <w:jc w:val="center"/>
        <w:rPr>
          <w:sz w:val="20"/>
        </w:rPr>
      </w:pPr>
    </w:p>
    <w:p w:rsidR="00314A3D" w:rsidRPr="00624571" w:rsidRDefault="00314A3D" w:rsidP="00314A3D">
      <w:pPr>
        <w:ind w:firstLine="708"/>
        <w:jc w:val="center"/>
        <w:rPr>
          <w:sz w:val="20"/>
        </w:rPr>
      </w:pPr>
    </w:p>
    <w:p w:rsidR="00314A3D" w:rsidRPr="00624571" w:rsidRDefault="00314A3D" w:rsidP="00314A3D">
      <w:pPr>
        <w:jc w:val="center"/>
        <w:rPr>
          <w:b/>
          <w:bCs/>
          <w:sz w:val="20"/>
        </w:rPr>
      </w:pPr>
      <w:r w:rsidRPr="00624571">
        <w:rPr>
          <w:b/>
          <w:bCs/>
          <w:sz w:val="20"/>
        </w:rPr>
        <w:t>L.P.G. SATIN ALMA İZİN BELGESİ</w:t>
      </w:r>
    </w:p>
    <w:p w:rsidR="00314A3D" w:rsidRPr="00624571" w:rsidRDefault="00314A3D" w:rsidP="00314A3D">
      <w:pPr>
        <w:ind w:firstLine="708"/>
        <w:jc w:val="both"/>
        <w:rPr>
          <w:sz w:val="20"/>
        </w:rPr>
      </w:pPr>
    </w:p>
    <w:p w:rsidR="00314A3D" w:rsidRPr="00624571" w:rsidRDefault="00314A3D" w:rsidP="00314A3D">
      <w:pPr>
        <w:ind w:firstLine="708"/>
        <w:jc w:val="both"/>
        <w:rPr>
          <w:sz w:val="20"/>
        </w:rPr>
      </w:pPr>
    </w:p>
    <w:p w:rsidR="00314A3D" w:rsidRPr="00624571" w:rsidRDefault="00314A3D" w:rsidP="00314A3D">
      <w:pPr>
        <w:ind w:firstLine="708"/>
        <w:jc w:val="both"/>
        <w:rPr>
          <w:sz w:val="20"/>
        </w:rPr>
      </w:pPr>
      <w:r w:rsidRPr="00624571">
        <w:rPr>
          <w:sz w:val="20"/>
        </w:rPr>
        <w:t xml:space="preserve">Aşağıda mükellefiyet bilgileri yer </w:t>
      </w:r>
      <w:proofErr w:type="gramStart"/>
      <w:r w:rsidRPr="00624571">
        <w:rPr>
          <w:sz w:val="20"/>
        </w:rPr>
        <w:t>alan</w:t>
      </w:r>
      <w:proofErr w:type="gramEnd"/>
      <w:r w:rsidRPr="00624571">
        <w:rPr>
          <w:sz w:val="20"/>
        </w:rPr>
        <w:t xml:space="preserve"> ......................................................................... 30/9/2014 tarihli ve 2014/6881 sayılı Bakanlar Kurulu Kararı ile yürürlüğe konulan Karar kapsamında aerosol üretiminde kullanılmak üzere L.P.G. satın almaya ve/veya ithal etmeye </w:t>
      </w:r>
      <w:r w:rsidRPr="00624571">
        <w:rPr>
          <w:bCs/>
          <w:sz w:val="20"/>
        </w:rPr>
        <w:t xml:space="preserve">…../…/……. </w:t>
      </w:r>
      <w:proofErr w:type="gramStart"/>
      <w:r w:rsidRPr="00624571">
        <w:rPr>
          <w:bCs/>
          <w:sz w:val="20"/>
        </w:rPr>
        <w:t xml:space="preserve">tarihinden </w:t>
      </w:r>
      <w:r w:rsidRPr="00624571">
        <w:rPr>
          <w:sz w:val="20"/>
        </w:rPr>
        <w:t xml:space="preserve"> </w:t>
      </w:r>
      <w:r w:rsidRPr="00624571">
        <w:rPr>
          <w:bCs/>
          <w:sz w:val="20"/>
        </w:rPr>
        <w:t>…</w:t>
      </w:r>
      <w:proofErr w:type="gramEnd"/>
      <w:r w:rsidRPr="00624571">
        <w:rPr>
          <w:bCs/>
          <w:sz w:val="20"/>
        </w:rPr>
        <w:t xml:space="preserve">../…/……. tarihine </w:t>
      </w:r>
      <w:proofErr w:type="gramStart"/>
      <w:r w:rsidRPr="00624571">
        <w:rPr>
          <w:bCs/>
          <w:sz w:val="20"/>
        </w:rPr>
        <w:t>kadar</w:t>
      </w:r>
      <w:proofErr w:type="gramEnd"/>
      <w:r w:rsidRPr="00624571">
        <w:rPr>
          <w:bCs/>
          <w:sz w:val="20"/>
        </w:rPr>
        <w:t xml:space="preserve"> </w:t>
      </w:r>
      <w:r w:rsidRPr="00624571">
        <w:rPr>
          <w:sz w:val="20"/>
        </w:rPr>
        <w:t xml:space="preserve">yetkilidir. </w:t>
      </w:r>
    </w:p>
    <w:p w:rsidR="00314A3D" w:rsidRPr="00624571" w:rsidRDefault="00314A3D" w:rsidP="00314A3D">
      <w:pPr>
        <w:ind w:firstLine="708"/>
        <w:jc w:val="both"/>
        <w:rPr>
          <w:sz w:val="20"/>
        </w:rPr>
      </w:pPr>
    </w:p>
    <w:p w:rsidR="00314A3D" w:rsidRPr="00624571" w:rsidRDefault="00314A3D" w:rsidP="00314A3D">
      <w:pPr>
        <w:spacing w:before="100" w:beforeAutospacing="1" w:after="240"/>
        <w:rPr>
          <w:rFonts w:eastAsia="Batang"/>
          <w:sz w:val="20"/>
          <w:lang w:eastAsia="ko-KR"/>
        </w:rPr>
      </w:pPr>
    </w:p>
    <w:p w:rsidR="00314A3D" w:rsidRPr="00624571" w:rsidRDefault="00314A3D" w:rsidP="00314A3D">
      <w:pPr>
        <w:rPr>
          <w:b/>
          <w:bCs/>
          <w:sz w:val="20"/>
        </w:rPr>
      </w:pPr>
    </w:p>
    <w:p w:rsidR="00314A3D" w:rsidRPr="00624571" w:rsidRDefault="00314A3D" w:rsidP="00314A3D">
      <w:pPr>
        <w:rPr>
          <w:b/>
          <w:bCs/>
          <w:sz w:val="20"/>
        </w:rPr>
      </w:pPr>
      <w:r w:rsidRPr="00624571">
        <w:rPr>
          <w:b/>
          <w:bCs/>
          <w:sz w:val="20"/>
        </w:rPr>
        <w:tab/>
      </w:r>
      <w:r w:rsidRPr="00624571">
        <w:rPr>
          <w:b/>
          <w:bCs/>
          <w:sz w:val="20"/>
        </w:rPr>
        <w:tab/>
      </w:r>
      <w:r w:rsidRPr="00624571">
        <w:rPr>
          <w:b/>
          <w:bCs/>
          <w:sz w:val="20"/>
        </w:rPr>
        <w:tab/>
      </w:r>
      <w:r w:rsidRPr="00624571">
        <w:rPr>
          <w:b/>
          <w:bCs/>
          <w:sz w:val="20"/>
        </w:rPr>
        <w:tab/>
      </w:r>
      <w:r w:rsidRPr="00624571">
        <w:rPr>
          <w:b/>
          <w:bCs/>
          <w:sz w:val="20"/>
        </w:rPr>
        <w:tab/>
      </w:r>
      <w:r w:rsidRPr="00624571">
        <w:rPr>
          <w:b/>
          <w:bCs/>
          <w:sz w:val="20"/>
        </w:rPr>
        <w:tab/>
      </w:r>
      <w:r w:rsidRPr="00624571">
        <w:rPr>
          <w:b/>
          <w:bCs/>
          <w:sz w:val="20"/>
        </w:rPr>
        <w:tab/>
      </w:r>
      <w:r w:rsidRPr="00624571">
        <w:rPr>
          <w:b/>
          <w:bCs/>
          <w:sz w:val="20"/>
        </w:rPr>
        <w:tab/>
      </w:r>
      <w:r w:rsidRPr="00624571">
        <w:rPr>
          <w:b/>
          <w:bCs/>
          <w:sz w:val="20"/>
        </w:rPr>
        <w:tab/>
        <w:t>Tarih-İmza-Mühür</w:t>
      </w:r>
    </w:p>
    <w:p w:rsidR="00314A3D" w:rsidRPr="00624571" w:rsidRDefault="00314A3D" w:rsidP="00314A3D">
      <w:pPr>
        <w:rPr>
          <w:b/>
          <w:bCs/>
          <w:sz w:val="20"/>
        </w:rPr>
      </w:pPr>
    </w:p>
    <w:p w:rsidR="00314A3D" w:rsidRPr="00624571" w:rsidRDefault="00314A3D" w:rsidP="00314A3D">
      <w:pPr>
        <w:jc w:val="both"/>
        <w:rPr>
          <w:rFonts w:eastAsia="Batang"/>
          <w:sz w:val="20"/>
          <w:lang w:eastAsia="ko-KR"/>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ÜRETİCİNİN:</w:t>
      </w:r>
    </w:p>
    <w:p w:rsidR="00314A3D" w:rsidRPr="00624571" w:rsidRDefault="00314A3D" w:rsidP="00314A3D">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360"/>
        <w:gridCol w:w="4605"/>
      </w:tblGrid>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Adı Soyadı (Unvanı)</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Vergi Kimlik No</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Adres</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9210" w:type="dxa"/>
            <w:gridSpan w:val="3"/>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Telefon No</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bCs/>
                <w:sz w:val="20"/>
              </w:rPr>
              <w:t>Faks No</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r w:rsidR="00314A3D" w:rsidRPr="00624571" w:rsidTr="008165A6">
        <w:tc>
          <w:tcPr>
            <w:tcW w:w="424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Cs/>
                <w:sz w:val="20"/>
              </w:rPr>
            </w:pPr>
            <w:r w:rsidRPr="00624571">
              <w:rPr>
                <w:sz w:val="20"/>
              </w:rPr>
              <w:t>E-Posta</w:t>
            </w:r>
          </w:p>
        </w:tc>
        <w:tc>
          <w:tcPr>
            <w:tcW w:w="360"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r w:rsidRPr="00624571">
              <w:rPr>
                <w:b/>
                <w:bCs/>
                <w:sz w:val="20"/>
              </w:rPr>
              <w:t>:</w:t>
            </w:r>
          </w:p>
        </w:tc>
        <w:tc>
          <w:tcPr>
            <w:tcW w:w="4605" w:type="dxa"/>
          </w:tcPr>
          <w:p w:rsidR="00314A3D" w:rsidRPr="00624571" w:rsidRDefault="00314A3D" w:rsidP="008165A6">
            <w:pPr>
              <w:tabs>
                <w:tab w:val="left" w:pos="1010"/>
                <w:tab w:val="left" w:pos="2194"/>
                <w:tab w:val="left" w:pos="3204"/>
                <w:tab w:val="left" w:pos="4214"/>
                <w:tab w:val="left" w:pos="5225"/>
                <w:tab w:val="left" w:pos="6235"/>
                <w:tab w:val="left" w:pos="7246"/>
                <w:tab w:val="left" w:pos="8256"/>
                <w:tab w:val="left" w:pos="9266"/>
                <w:tab w:val="left" w:pos="9535"/>
              </w:tabs>
              <w:adjustRightInd w:val="0"/>
              <w:jc w:val="both"/>
              <w:rPr>
                <w:b/>
                <w:bCs/>
                <w:sz w:val="20"/>
              </w:rPr>
            </w:pPr>
          </w:p>
        </w:tc>
      </w:tr>
    </w:tbl>
    <w:p w:rsidR="00314A3D" w:rsidRPr="00624571" w:rsidRDefault="00314A3D" w:rsidP="00314A3D">
      <w:pPr>
        <w:rPr>
          <w:sz w:val="20"/>
        </w:rPr>
      </w:pPr>
    </w:p>
    <w:p w:rsidR="00314A3D" w:rsidRPr="00624571" w:rsidRDefault="00314A3D" w:rsidP="00314A3D">
      <w:pPr>
        <w:rPr>
          <w:sz w:val="20"/>
        </w:rPr>
      </w:pPr>
    </w:p>
    <w:p w:rsidR="00314A3D" w:rsidRPr="00624571" w:rsidRDefault="00314A3D" w:rsidP="00314A3D">
      <w:pPr>
        <w:rPr>
          <w:sz w:val="20"/>
        </w:rPr>
      </w:pPr>
    </w:p>
    <w:p w:rsidR="00314A3D" w:rsidRPr="00624571" w:rsidRDefault="00314A3D" w:rsidP="00314A3D">
      <w:pPr>
        <w:rPr>
          <w:sz w:val="20"/>
        </w:rPr>
      </w:pPr>
    </w:p>
    <w:p w:rsidR="00314A3D" w:rsidRPr="00314A3D" w:rsidRDefault="00314A3D" w:rsidP="00314A3D">
      <w:pPr>
        <w:spacing w:before="100" w:beforeAutospacing="1" w:after="100" w:afterAutospacing="1" w:line="240" w:lineRule="atLeast"/>
        <w:jc w:val="both"/>
        <w:rPr>
          <w:sz w:val="22"/>
          <w:szCs w:val="22"/>
        </w:rPr>
      </w:pPr>
    </w:p>
    <w:p w:rsidR="00314A3D" w:rsidRPr="00624571" w:rsidRDefault="00314A3D" w:rsidP="00314A3D">
      <w:pPr>
        <w:spacing w:before="100" w:beforeAutospacing="1" w:after="100" w:afterAutospacing="1"/>
        <w:ind w:left="108"/>
        <w:rPr>
          <w:b/>
          <w:bCs/>
          <w:color w:val="000080"/>
          <w:sz w:val="20"/>
        </w:rPr>
      </w:pPr>
      <w:r w:rsidRPr="00624571">
        <w:rPr>
          <w:b/>
          <w:bCs/>
          <w:color w:val="000080"/>
          <w:sz w:val="20"/>
        </w:rPr>
        <w:t> </w:t>
      </w:r>
    </w:p>
    <w:p w:rsidR="00314A3D" w:rsidRPr="00624571" w:rsidRDefault="00314A3D" w:rsidP="00314A3D">
      <w:pPr>
        <w:spacing w:before="100" w:beforeAutospacing="1" w:after="100" w:afterAutospacing="1"/>
        <w:ind w:left="108"/>
        <w:rPr>
          <w:b/>
          <w:bCs/>
          <w:color w:val="000080"/>
          <w:sz w:val="20"/>
        </w:rPr>
      </w:pPr>
    </w:p>
    <w:p w:rsidR="00314A3D" w:rsidRPr="00624571" w:rsidRDefault="00314A3D" w:rsidP="00314A3D">
      <w:pPr>
        <w:spacing w:before="100" w:beforeAutospacing="1" w:after="100" w:afterAutospacing="1"/>
        <w:ind w:left="108"/>
        <w:rPr>
          <w:b/>
          <w:bCs/>
          <w:color w:val="000080"/>
          <w:sz w:val="20"/>
        </w:rPr>
      </w:pPr>
    </w:p>
    <w:p w:rsidR="00314A3D" w:rsidRPr="00624571" w:rsidRDefault="00314A3D" w:rsidP="00314A3D">
      <w:pPr>
        <w:spacing w:before="100" w:beforeAutospacing="1" w:after="100" w:afterAutospacing="1"/>
        <w:ind w:left="108"/>
        <w:rPr>
          <w:b/>
          <w:bCs/>
          <w:color w:val="000080"/>
          <w:sz w:val="20"/>
        </w:rPr>
      </w:pPr>
    </w:p>
    <w:p w:rsidR="0008196B" w:rsidRDefault="0008196B">
      <w:pPr>
        <w:rPr>
          <w:b/>
          <w:bCs/>
          <w:color w:val="000080"/>
          <w:sz w:val="20"/>
        </w:rPr>
        <w:sectPr w:rsidR="0008196B" w:rsidSect="005D741D">
          <w:footerReference w:type="default" r:id="rId10"/>
          <w:footerReference w:type="first" r:id="rId11"/>
          <w:pgSz w:w="11906" w:h="16838"/>
          <w:pgMar w:top="0" w:right="991" w:bottom="568" w:left="1418" w:header="567" w:footer="567" w:gutter="0"/>
          <w:cols w:space="708"/>
          <w:titlePg/>
          <w:docGrid w:linePitch="360"/>
        </w:sectPr>
      </w:pPr>
    </w:p>
    <w:p w:rsidR="008C6523" w:rsidRPr="00624571" w:rsidRDefault="00314A3D" w:rsidP="00314A3D">
      <w:pPr>
        <w:rPr>
          <w:b/>
          <w:sz w:val="20"/>
        </w:rPr>
      </w:pPr>
      <w:r w:rsidRPr="00624571">
        <w:rPr>
          <w:b/>
          <w:sz w:val="20"/>
        </w:rPr>
        <w:lastRenderedPageBreak/>
        <w:t>EK</w:t>
      </w:r>
      <w:proofErr w:type="gramStart"/>
      <w:r w:rsidRPr="00624571">
        <w:rPr>
          <w:b/>
          <w:sz w:val="20"/>
        </w:rPr>
        <w:t>:3</w:t>
      </w:r>
      <w:bookmarkStart w:id="0" w:name="_GoBack"/>
      <w:bookmarkEnd w:id="0"/>
      <w:proofErr w:type="gramEnd"/>
    </w:p>
    <w:p w:rsidR="005D741D" w:rsidRDefault="005D741D" w:rsidP="00314A3D">
      <w:pPr>
        <w:rPr>
          <w:sz w:val="20"/>
        </w:rPr>
      </w:pPr>
    </w:p>
    <w:tbl>
      <w:tblPr>
        <w:tblW w:w="5164"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174"/>
        <w:gridCol w:w="1199"/>
        <w:gridCol w:w="684"/>
        <w:gridCol w:w="732"/>
        <w:gridCol w:w="749"/>
        <w:gridCol w:w="1161"/>
        <w:gridCol w:w="1573"/>
        <w:gridCol w:w="1372"/>
        <w:gridCol w:w="742"/>
        <w:gridCol w:w="739"/>
        <w:gridCol w:w="1124"/>
        <w:gridCol w:w="1015"/>
        <w:gridCol w:w="1376"/>
        <w:gridCol w:w="1161"/>
        <w:gridCol w:w="1226"/>
      </w:tblGrid>
      <w:tr w:rsidR="00314A3D" w:rsidRPr="00624571" w:rsidTr="008C6523">
        <w:trPr>
          <w:trHeight w:val="985"/>
        </w:trPr>
        <w:tc>
          <w:tcPr>
            <w:tcW w:w="5000" w:type="pct"/>
            <w:gridSpan w:val="15"/>
            <w:tcBorders>
              <w:top w:val="single" w:sz="18" w:space="0" w:color="auto"/>
              <w:left w:val="single" w:sz="18" w:space="0" w:color="auto"/>
              <w:bottom w:val="single" w:sz="18" w:space="0" w:color="auto"/>
              <w:right w:val="single" w:sz="18" w:space="0" w:color="auto"/>
            </w:tcBorders>
            <w:vAlign w:val="center"/>
          </w:tcPr>
          <w:p w:rsidR="00314A3D" w:rsidRPr="008C6523" w:rsidRDefault="00314A3D" w:rsidP="008165A6">
            <w:pPr>
              <w:jc w:val="center"/>
              <w:rPr>
                <w:b/>
                <w:bCs/>
                <w:sz w:val="18"/>
                <w:szCs w:val="18"/>
              </w:rPr>
            </w:pPr>
            <w:r w:rsidRPr="008C6523">
              <w:rPr>
                <w:b/>
                <w:bCs/>
                <w:sz w:val="18"/>
                <w:szCs w:val="18"/>
              </w:rPr>
              <w:t xml:space="preserve">RAFİNERİCİLERDEN SATIN ALINAN L.P.G. NİN 2014/6881 SAYILI KARARNAME KAPSAMINDA TESLİMİNE İLİŞKİN </w:t>
            </w:r>
          </w:p>
          <w:p w:rsidR="00314A3D" w:rsidRPr="008C6523" w:rsidRDefault="00314A3D" w:rsidP="008165A6">
            <w:pPr>
              <w:jc w:val="center"/>
              <w:rPr>
                <w:b/>
                <w:bCs/>
                <w:sz w:val="18"/>
                <w:szCs w:val="18"/>
              </w:rPr>
            </w:pPr>
            <w:r w:rsidRPr="008C6523">
              <w:rPr>
                <w:b/>
                <w:bCs/>
                <w:sz w:val="18"/>
                <w:szCs w:val="18"/>
              </w:rPr>
              <w:t>BİLDİRİM FORMU</w:t>
            </w:r>
          </w:p>
        </w:tc>
      </w:tr>
      <w:tr w:rsidR="00314A3D" w:rsidRPr="00624571" w:rsidTr="0008196B">
        <w:trPr>
          <w:trHeight w:val="594"/>
        </w:trPr>
        <w:tc>
          <w:tcPr>
            <w:tcW w:w="1406" w:type="pct"/>
            <w:gridSpan w:val="4"/>
            <w:tcBorders>
              <w:top w:val="single" w:sz="18" w:space="0" w:color="auto"/>
              <w:left w:val="single" w:sz="18" w:space="0" w:color="auto"/>
            </w:tcBorders>
          </w:tcPr>
          <w:p w:rsidR="00314A3D" w:rsidRPr="008C6523" w:rsidRDefault="00314A3D" w:rsidP="008165A6">
            <w:pPr>
              <w:rPr>
                <w:b/>
                <w:bCs/>
                <w:sz w:val="18"/>
                <w:szCs w:val="18"/>
              </w:rPr>
            </w:pPr>
            <w:r w:rsidRPr="008C6523">
              <w:rPr>
                <w:b/>
                <w:bCs/>
                <w:sz w:val="18"/>
                <w:szCs w:val="18"/>
              </w:rPr>
              <w:t>DAĞITICININ VERGİ KİMLİK NUMARASI:</w:t>
            </w:r>
          </w:p>
        </w:tc>
        <w:tc>
          <w:tcPr>
            <w:tcW w:w="1644" w:type="pct"/>
            <w:gridSpan w:val="5"/>
            <w:tcBorders>
              <w:top w:val="single" w:sz="18" w:space="0" w:color="auto"/>
            </w:tcBorders>
          </w:tcPr>
          <w:p w:rsidR="00314A3D" w:rsidRPr="008C6523" w:rsidRDefault="00314A3D" w:rsidP="008165A6">
            <w:pPr>
              <w:rPr>
                <w:b/>
                <w:bCs/>
                <w:sz w:val="18"/>
                <w:szCs w:val="18"/>
              </w:rPr>
            </w:pPr>
            <w:r w:rsidRPr="008C6523">
              <w:rPr>
                <w:b/>
                <w:bCs/>
                <w:sz w:val="18"/>
                <w:szCs w:val="18"/>
              </w:rPr>
              <w:t>VERGİ DAİRESİ:</w:t>
            </w:r>
          </w:p>
        </w:tc>
        <w:tc>
          <w:tcPr>
            <w:tcW w:w="1950" w:type="pct"/>
            <w:gridSpan w:val="6"/>
            <w:tcBorders>
              <w:top w:val="single" w:sz="18" w:space="0" w:color="auto"/>
              <w:right w:val="single" w:sz="18" w:space="0" w:color="auto"/>
            </w:tcBorders>
          </w:tcPr>
          <w:p w:rsidR="00314A3D" w:rsidRPr="00624571" w:rsidRDefault="00314A3D" w:rsidP="008165A6">
            <w:pPr>
              <w:rPr>
                <w:b/>
                <w:bCs/>
                <w:sz w:val="20"/>
              </w:rPr>
            </w:pPr>
            <w:r w:rsidRPr="00624571">
              <w:rPr>
                <w:b/>
                <w:bCs/>
                <w:sz w:val="20"/>
              </w:rPr>
              <w:t>İL/İLÇE:</w:t>
            </w:r>
          </w:p>
        </w:tc>
      </w:tr>
      <w:tr w:rsidR="00314A3D" w:rsidRPr="00624571" w:rsidTr="0008196B">
        <w:trPr>
          <w:trHeight w:val="656"/>
        </w:trPr>
        <w:tc>
          <w:tcPr>
            <w:tcW w:w="1406" w:type="pct"/>
            <w:gridSpan w:val="4"/>
            <w:tcBorders>
              <w:left w:val="single" w:sz="18" w:space="0" w:color="auto"/>
              <w:bottom w:val="single" w:sz="18" w:space="0" w:color="auto"/>
            </w:tcBorders>
          </w:tcPr>
          <w:p w:rsidR="00314A3D" w:rsidRPr="008C6523" w:rsidRDefault="00314A3D" w:rsidP="008165A6">
            <w:pPr>
              <w:rPr>
                <w:b/>
                <w:bCs/>
                <w:sz w:val="18"/>
                <w:szCs w:val="18"/>
              </w:rPr>
            </w:pPr>
            <w:r w:rsidRPr="008C6523">
              <w:rPr>
                <w:b/>
                <w:bCs/>
                <w:sz w:val="18"/>
                <w:szCs w:val="18"/>
              </w:rPr>
              <w:t>UNVANI:</w:t>
            </w:r>
          </w:p>
        </w:tc>
        <w:tc>
          <w:tcPr>
            <w:tcW w:w="1023" w:type="pct"/>
            <w:gridSpan w:val="3"/>
            <w:tcBorders>
              <w:bottom w:val="single" w:sz="18" w:space="0" w:color="auto"/>
            </w:tcBorders>
          </w:tcPr>
          <w:p w:rsidR="00314A3D" w:rsidRPr="008C6523" w:rsidRDefault="00314A3D" w:rsidP="008165A6">
            <w:pPr>
              <w:rPr>
                <w:b/>
                <w:bCs/>
                <w:sz w:val="18"/>
                <w:szCs w:val="18"/>
              </w:rPr>
            </w:pPr>
            <w:r w:rsidRPr="008C6523">
              <w:rPr>
                <w:b/>
                <w:bCs/>
                <w:sz w:val="18"/>
                <w:szCs w:val="18"/>
              </w:rPr>
              <w:t>DAĞITICI LİSANS TARİHİ VE NO:</w:t>
            </w:r>
          </w:p>
        </w:tc>
        <w:tc>
          <w:tcPr>
            <w:tcW w:w="621" w:type="pct"/>
            <w:gridSpan w:val="2"/>
            <w:tcBorders>
              <w:bottom w:val="single" w:sz="18" w:space="0" w:color="auto"/>
            </w:tcBorders>
          </w:tcPr>
          <w:p w:rsidR="00314A3D" w:rsidRPr="00624571" w:rsidRDefault="00314A3D" w:rsidP="008165A6">
            <w:pPr>
              <w:rPr>
                <w:b/>
                <w:bCs/>
                <w:sz w:val="20"/>
              </w:rPr>
            </w:pPr>
            <w:r w:rsidRPr="00624571">
              <w:rPr>
                <w:b/>
                <w:bCs/>
                <w:sz w:val="20"/>
              </w:rPr>
              <w:t>YIL:</w:t>
            </w:r>
          </w:p>
        </w:tc>
        <w:tc>
          <w:tcPr>
            <w:tcW w:w="1950" w:type="pct"/>
            <w:gridSpan w:val="6"/>
            <w:tcBorders>
              <w:bottom w:val="single" w:sz="18" w:space="0" w:color="auto"/>
              <w:right w:val="single" w:sz="18" w:space="0" w:color="auto"/>
            </w:tcBorders>
          </w:tcPr>
          <w:p w:rsidR="00314A3D" w:rsidRPr="00624571" w:rsidRDefault="00314A3D" w:rsidP="008165A6">
            <w:pPr>
              <w:rPr>
                <w:b/>
                <w:bCs/>
                <w:sz w:val="20"/>
              </w:rPr>
            </w:pPr>
            <w:r w:rsidRPr="00624571">
              <w:rPr>
                <w:b/>
                <w:bCs/>
                <w:sz w:val="20"/>
              </w:rPr>
              <w:t>DÖNEM:</w:t>
            </w:r>
          </w:p>
        </w:tc>
      </w:tr>
      <w:tr w:rsidR="00314A3D" w:rsidRPr="00624571" w:rsidTr="0008196B">
        <w:trPr>
          <w:trHeight w:val="836"/>
        </w:trPr>
        <w:tc>
          <w:tcPr>
            <w:tcW w:w="2429" w:type="pct"/>
            <w:gridSpan w:val="7"/>
            <w:tcBorders>
              <w:top w:val="single" w:sz="18" w:space="0" w:color="auto"/>
              <w:left w:val="single" w:sz="18" w:space="0" w:color="auto"/>
              <w:right w:val="single" w:sz="18" w:space="0" w:color="auto"/>
            </w:tcBorders>
            <w:vAlign w:val="center"/>
          </w:tcPr>
          <w:p w:rsidR="00314A3D" w:rsidRPr="008C6523" w:rsidRDefault="00314A3D" w:rsidP="008165A6">
            <w:pPr>
              <w:jc w:val="center"/>
              <w:rPr>
                <w:b/>
                <w:bCs/>
                <w:sz w:val="18"/>
                <w:szCs w:val="18"/>
              </w:rPr>
            </w:pPr>
            <w:r w:rsidRPr="008C6523">
              <w:rPr>
                <w:b/>
                <w:bCs/>
                <w:sz w:val="18"/>
                <w:szCs w:val="18"/>
              </w:rPr>
              <w:t xml:space="preserve">RAFİNERİCİDEN ÖTV ÖDENEREK SATIN ALINAN </w:t>
            </w:r>
          </w:p>
          <w:p w:rsidR="00314A3D" w:rsidRPr="008C6523" w:rsidRDefault="00314A3D" w:rsidP="008165A6">
            <w:pPr>
              <w:jc w:val="center"/>
              <w:rPr>
                <w:b/>
                <w:bCs/>
                <w:sz w:val="18"/>
                <w:szCs w:val="18"/>
              </w:rPr>
            </w:pPr>
            <w:r w:rsidRPr="008C6523">
              <w:rPr>
                <w:b/>
                <w:bCs/>
                <w:sz w:val="18"/>
                <w:szCs w:val="18"/>
              </w:rPr>
              <w:t>L.P.G. BİLGİLERİ</w:t>
            </w:r>
          </w:p>
        </w:tc>
        <w:tc>
          <w:tcPr>
            <w:tcW w:w="2571" w:type="pct"/>
            <w:gridSpan w:val="8"/>
            <w:tcBorders>
              <w:top w:val="single" w:sz="18" w:space="0" w:color="auto"/>
              <w:left w:val="single" w:sz="18" w:space="0" w:color="auto"/>
              <w:right w:val="single" w:sz="18" w:space="0" w:color="auto"/>
            </w:tcBorders>
            <w:vAlign w:val="center"/>
          </w:tcPr>
          <w:p w:rsidR="00314A3D" w:rsidRPr="00624571" w:rsidRDefault="00314A3D" w:rsidP="008165A6">
            <w:pPr>
              <w:jc w:val="center"/>
              <w:rPr>
                <w:b/>
                <w:bCs/>
                <w:sz w:val="20"/>
              </w:rPr>
            </w:pPr>
            <w:r w:rsidRPr="00624571">
              <w:rPr>
                <w:b/>
                <w:bCs/>
                <w:sz w:val="20"/>
              </w:rPr>
              <w:t xml:space="preserve">AEROSOL ÜRETİCİSİNE KARARNAME KAPSAMINDA YAPILAN </w:t>
            </w:r>
          </w:p>
          <w:p w:rsidR="00314A3D" w:rsidRPr="00624571" w:rsidRDefault="00314A3D" w:rsidP="008165A6">
            <w:pPr>
              <w:jc w:val="center"/>
              <w:rPr>
                <w:b/>
                <w:bCs/>
                <w:sz w:val="20"/>
              </w:rPr>
            </w:pPr>
            <w:r w:rsidRPr="00624571">
              <w:rPr>
                <w:b/>
                <w:bCs/>
                <w:sz w:val="20"/>
              </w:rPr>
              <w:t>L.P.G. TESLİMİNE İLİŞKİN BİLGİLER</w:t>
            </w:r>
          </w:p>
        </w:tc>
      </w:tr>
      <w:tr w:rsidR="00314A3D" w:rsidRPr="00624571" w:rsidTr="0008196B">
        <w:trPr>
          <w:trHeight w:val="1285"/>
        </w:trPr>
        <w:tc>
          <w:tcPr>
            <w:tcW w:w="990" w:type="pct"/>
            <w:gridSpan w:val="2"/>
            <w:tcBorders>
              <w:left w:val="single" w:sz="18" w:space="0" w:color="auto"/>
            </w:tcBorders>
            <w:vAlign w:val="center"/>
          </w:tcPr>
          <w:p w:rsidR="00314A3D" w:rsidRPr="008C6523" w:rsidRDefault="00314A3D" w:rsidP="008165A6">
            <w:pPr>
              <w:jc w:val="center"/>
              <w:rPr>
                <w:b/>
                <w:bCs/>
                <w:sz w:val="18"/>
                <w:szCs w:val="18"/>
              </w:rPr>
            </w:pPr>
            <w:r w:rsidRPr="008C6523">
              <w:rPr>
                <w:b/>
                <w:bCs/>
                <w:sz w:val="18"/>
                <w:szCs w:val="18"/>
              </w:rPr>
              <w:t>Satıcının</w:t>
            </w:r>
          </w:p>
        </w:tc>
        <w:tc>
          <w:tcPr>
            <w:tcW w:w="636" w:type="pct"/>
            <w:gridSpan w:val="3"/>
            <w:vAlign w:val="center"/>
          </w:tcPr>
          <w:p w:rsidR="00314A3D" w:rsidRPr="008C6523" w:rsidRDefault="00314A3D" w:rsidP="008165A6">
            <w:pPr>
              <w:jc w:val="center"/>
              <w:rPr>
                <w:b/>
                <w:bCs/>
                <w:sz w:val="18"/>
                <w:szCs w:val="18"/>
              </w:rPr>
            </w:pPr>
            <w:r w:rsidRPr="008C6523">
              <w:rPr>
                <w:b/>
                <w:bCs/>
                <w:sz w:val="18"/>
                <w:szCs w:val="18"/>
              </w:rPr>
              <w:t>Alış Faturasının</w:t>
            </w:r>
          </w:p>
        </w:tc>
        <w:tc>
          <w:tcPr>
            <w:tcW w:w="803" w:type="pct"/>
            <w:gridSpan w:val="2"/>
            <w:tcBorders>
              <w:right w:val="single" w:sz="18" w:space="0" w:color="auto"/>
            </w:tcBorders>
            <w:vAlign w:val="center"/>
          </w:tcPr>
          <w:p w:rsidR="00314A3D" w:rsidRPr="008C6523" w:rsidRDefault="00314A3D" w:rsidP="008165A6">
            <w:pPr>
              <w:jc w:val="center"/>
              <w:rPr>
                <w:b/>
                <w:bCs/>
                <w:sz w:val="18"/>
                <w:szCs w:val="18"/>
              </w:rPr>
            </w:pPr>
            <w:r w:rsidRPr="008C6523">
              <w:rPr>
                <w:b/>
                <w:bCs/>
                <w:sz w:val="18"/>
                <w:szCs w:val="18"/>
              </w:rPr>
              <w:t>Teslim Alınan L.P.G.</w:t>
            </w:r>
          </w:p>
        </w:tc>
        <w:tc>
          <w:tcPr>
            <w:tcW w:w="1168" w:type="pct"/>
            <w:gridSpan w:val="4"/>
            <w:tcBorders>
              <w:left w:val="single" w:sz="18" w:space="0" w:color="auto"/>
            </w:tcBorders>
            <w:vAlign w:val="center"/>
          </w:tcPr>
          <w:p w:rsidR="00314A3D" w:rsidRPr="00624571" w:rsidRDefault="00314A3D" w:rsidP="008165A6">
            <w:pPr>
              <w:jc w:val="center"/>
              <w:rPr>
                <w:b/>
                <w:bCs/>
                <w:sz w:val="20"/>
              </w:rPr>
            </w:pPr>
            <w:r w:rsidRPr="00624571">
              <w:rPr>
                <w:b/>
                <w:bCs/>
                <w:sz w:val="20"/>
              </w:rPr>
              <w:t>Aerosol Üreticisinin</w:t>
            </w:r>
          </w:p>
        </w:tc>
        <w:tc>
          <w:tcPr>
            <w:tcW w:w="702" w:type="pct"/>
            <w:gridSpan w:val="2"/>
            <w:vAlign w:val="center"/>
          </w:tcPr>
          <w:p w:rsidR="00314A3D" w:rsidRPr="00624571" w:rsidRDefault="00314A3D" w:rsidP="008165A6">
            <w:pPr>
              <w:jc w:val="center"/>
              <w:rPr>
                <w:b/>
                <w:bCs/>
                <w:sz w:val="20"/>
              </w:rPr>
            </w:pPr>
            <w:r w:rsidRPr="00624571">
              <w:rPr>
                <w:b/>
                <w:bCs/>
                <w:sz w:val="20"/>
              </w:rPr>
              <w:t>Satış Faturasının</w:t>
            </w:r>
          </w:p>
        </w:tc>
        <w:tc>
          <w:tcPr>
            <w:tcW w:w="341" w:type="pct"/>
            <w:vMerge w:val="restart"/>
            <w:vAlign w:val="center"/>
          </w:tcPr>
          <w:p w:rsidR="00314A3D" w:rsidRPr="00624571" w:rsidRDefault="00314A3D" w:rsidP="008165A6">
            <w:pPr>
              <w:jc w:val="center"/>
              <w:rPr>
                <w:b/>
                <w:bCs/>
                <w:sz w:val="20"/>
              </w:rPr>
            </w:pPr>
            <w:r w:rsidRPr="00624571">
              <w:rPr>
                <w:b/>
                <w:bCs/>
                <w:sz w:val="20"/>
              </w:rPr>
              <w:t>Teslim Edilen Mal Miktarı (Kg)</w:t>
            </w:r>
          </w:p>
        </w:tc>
        <w:tc>
          <w:tcPr>
            <w:tcW w:w="360" w:type="pct"/>
            <w:vMerge w:val="restart"/>
            <w:tcBorders>
              <w:right w:val="single" w:sz="18" w:space="0" w:color="auto"/>
            </w:tcBorders>
            <w:vAlign w:val="center"/>
          </w:tcPr>
          <w:p w:rsidR="00314A3D" w:rsidRPr="00624571" w:rsidRDefault="00314A3D" w:rsidP="008165A6">
            <w:pPr>
              <w:jc w:val="center"/>
              <w:rPr>
                <w:b/>
                <w:bCs/>
                <w:sz w:val="20"/>
              </w:rPr>
            </w:pPr>
            <w:r w:rsidRPr="00624571">
              <w:rPr>
                <w:b/>
                <w:bCs/>
                <w:sz w:val="20"/>
              </w:rPr>
              <w:t>Teslim Bedeline Dahil Edilen Toplam ÖTV tutarı</w:t>
            </w:r>
          </w:p>
        </w:tc>
      </w:tr>
      <w:tr w:rsidR="008C6523" w:rsidRPr="00624571" w:rsidTr="0008196B">
        <w:trPr>
          <w:trHeight w:val="1181"/>
        </w:trPr>
        <w:tc>
          <w:tcPr>
            <w:tcW w:w="638" w:type="pct"/>
            <w:tcBorders>
              <w:left w:val="single" w:sz="18" w:space="0" w:color="auto"/>
            </w:tcBorders>
            <w:vAlign w:val="center"/>
          </w:tcPr>
          <w:p w:rsidR="00314A3D" w:rsidRPr="008C6523" w:rsidRDefault="00314A3D" w:rsidP="008165A6">
            <w:pPr>
              <w:jc w:val="center"/>
              <w:rPr>
                <w:b/>
                <w:bCs/>
                <w:sz w:val="18"/>
                <w:szCs w:val="18"/>
              </w:rPr>
            </w:pPr>
            <w:r w:rsidRPr="008C6523">
              <w:rPr>
                <w:b/>
                <w:bCs/>
                <w:sz w:val="18"/>
                <w:szCs w:val="18"/>
              </w:rPr>
              <w:t>Unvanı</w:t>
            </w:r>
          </w:p>
        </w:tc>
        <w:tc>
          <w:tcPr>
            <w:tcW w:w="352" w:type="pct"/>
            <w:vAlign w:val="center"/>
          </w:tcPr>
          <w:p w:rsidR="00314A3D" w:rsidRPr="008C6523" w:rsidRDefault="00314A3D" w:rsidP="008165A6">
            <w:pPr>
              <w:jc w:val="center"/>
              <w:rPr>
                <w:b/>
                <w:bCs/>
                <w:sz w:val="18"/>
                <w:szCs w:val="18"/>
              </w:rPr>
            </w:pPr>
            <w:r w:rsidRPr="008C6523">
              <w:rPr>
                <w:b/>
                <w:bCs/>
                <w:sz w:val="18"/>
                <w:szCs w:val="18"/>
              </w:rPr>
              <w:t>Vergi Kimlik Numarası</w:t>
            </w:r>
          </w:p>
        </w:tc>
        <w:tc>
          <w:tcPr>
            <w:tcW w:w="201" w:type="pct"/>
            <w:vAlign w:val="center"/>
          </w:tcPr>
          <w:p w:rsidR="00314A3D" w:rsidRPr="008C6523" w:rsidRDefault="00314A3D" w:rsidP="008165A6">
            <w:pPr>
              <w:jc w:val="center"/>
              <w:rPr>
                <w:b/>
                <w:bCs/>
                <w:sz w:val="18"/>
                <w:szCs w:val="18"/>
              </w:rPr>
            </w:pPr>
            <w:r w:rsidRPr="008C6523">
              <w:rPr>
                <w:b/>
                <w:bCs/>
                <w:sz w:val="18"/>
                <w:szCs w:val="18"/>
              </w:rPr>
              <w:t>Tarihi</w:t>
            </w:r>
          </w:p>
        </w:tc>
        <w:tc>
          <w:tcPr>
            <w:tcW w:w="435" w:type="pct"/>
            <w:gridSpan w:val="2"/>
            <w:vAlign w:val="center"/>
          </w:tcPr>
          <w:p w:rsidR="00314A3D" w:rsidRPr="008C6523" w:rsidRDefault="00314A3D" w:rsidP="008165A6">
            <w:pPr>
              <w:jc w:val="center"/>
              <w:rPr>
                <w:b/>
                <w:bCs/>
                <w:sz w:val="18"/>
                <w:szCs w:val="18"/>
              </w:rPr>
            </w:pPr>
            <w:r w:rsidRPr="008C6523">
              <w:rPr>
                <w:b/>
                <w:bCs/>
                <w:sz w:val="18"/>
                <w:szCs w:val="18"/>
              </w:rPr>
              <w:t>Seri-Sıra Numarası</w:t>
            </w:r>
          </w:p>
        </w:tc>
        <w:tc>
          <w:tcPr>
            <w:tcW w:w="341" w:type="pct"/>
            <w:vAlign w:val="center"/>
          </w:tcPr>
          <w:p w:rsidR="00314A3D" w:rsidRPr="008C6523" w:rsidRDefault="00314A3D" w:rsidP="008165A6">
            <w:pPr>
              <w:jc w:val="center"/>
              <w:rPr>
                <w:b/>
                <w:bCs/>
                <w:sz w:val="18"/>
                <w:szCs w:val="18"/>
              </w:rPr>
            </w:pPr>
            <w:r w:rsidRPr="008C6523">
              <w:rPr>
                <w:b/>
                <w:bCs/>
                <w:sz w:val="18"/>
                <w:szCs w:val="18"/>
              </w:rPr>
              <w:t>Miktarı (Kg)</w:t>
            </w:r>
          </w:p>
        </w:tc>
        <w:tc>
          <w:tcPr>
            <w:tcW w:w="462" w:type="pct"/>
            <w:tcBorders>
              <w:right w:val="single" w:sz="18" w:space="0" w:color="auto"/>
            </w:tcBorders>
            <w:vAlign w:val="center"/>
          </w:tcPr>
          <w:p w:rsidR="00314A3D" w:rsidRPr="008C6523" w:rsidRDefault="00314A3D" w:rsidP="008165A6">
            <w:pPr>
              <w:jc w:val="center"/>
              <w:rPr>
                <w:b/>
                <w:bCs/>
                <w:sz w:val="18"/>
                <w:szCs w:val="18"/>
              </w:rPr>
            </w:pPr>
            <w:r w:rsidRPr="008C6523">
              <w:rPr>
                <w:b/>
                <w:bCs/>
                <w:sz w:val="18"/>
                <w:szCs w:val="18"/>
              </w:rPr>
              <w:t>Hesaplanan ÖTV tutarı</w:t>
            </w:r>
          </w:p>
        </w:tc>
        <w:tc>
          <w:tcPr>
            <w:tcW w:w="403" w:type="pct"/>
            <w:tcBorders>
              <w:left w:val="single" w:sz="18" w:space="0" w:color="auto"/>
            </w:tcBorders>
            <w:vAlign w:val="center"/>
          </w:tcPr>
          <w:p w:rsidR="00314A3D" w:rsidRPr="00624571" w:rsidRDefault="00314A3D" w:rsidP="008165A6">
            <w:pPr>
              <w:jc w:val="center"/>
              <w:rPr>
                <w:b/>
                <w:bCs/>
                <w:sz w:val="20"/>
              </w:rPr>
            </w:pPr>
            <w:r w:rsidRPr="00624571">
              <w:rPr>
                <w:b/>
                <w:bCs/>
                <w:sz w:val="20"/>
              </w:rPr>
              <w:t>T.C. Kimlik Numarası (*)</w:t>
            </w:r>
          </w:p>
        </w:tc>
        <w:tc>
          <w:tcPr>
            <w:tcW w:w="435" w:type="pct"/>
            <w:gridSpan w:val="2"/>
            <w:vAlign w:val="center"/>
          </w:tcPr>
          <w:p w:rsidR="00314A3D" w:rsidRPr="00624571" w:rsidRDefault="00314A3D" w:rsidP="008165A6">
            <w:pPr>
              <w:jc w:val="center"/>
              <w:rPr>
                <w:b/>
                <w:bCs/>
                <w:sz w:val="20"/>
              </w:rPr>
            </w:pPr>
            <w:r w:rsidRPr="00624571">
              <w:rPr>
                <w:b/>
                <w:bCs/>
                <w:sz w:val="20"/>
              </w:rPr>
              <w:t>Vergi Kimlik Numarası</w:t>
            </w:r>
          </w:p>
        </w:tc>
        <w:tc>
          <w:tcPr>
            <w:tcW w:w="330" w:type="pct"/>
            <w:vAlign w:val="center"/>
          </w:tcPr>
          <w:p w:rsidR="00314A3D" w:rsidRPr="00624571" w:rsidRDefault="00314A3D" w:rsidP="008165A6">
            <w:pPr>
              <w:jc w:val="center"/>
              <w:rPr>
                <w:b/>
                <w:bCs/>
                <w:sz w:val="20"/>
              </w:rPr>
            </w:pPr>
            <w:r w:rsidRPr="00624571">
              <w:rPr>
                <w:b/>
                <w:bCs/>
                <w:sz w:val="20"/>
              </w:rPr>
              <w:t>Adı-Soyadı/</w:t>
            </w:r>
          </w:p>
          <w:p w:rsidR="00314A3D" w:rsidRPr="00624571" w:rsidRDefault="00314A3D" w:rsidP="008165A6">
            <w:pPr>
              <w:jc w:val="center"/>
              <w:rPr>
                <w:b/>
                <w:bCs/>
                <w:sz w:val="20"/>
              </w:rPr>
            </w:pPr>
            <w:r w:rsidRPr="00624571">
              <w:rPr>
                <w:b/>
                <w:bCs/>
                <w:sz w:val="20"/>
              </w:rPr>
              <w:t>Unvanı</w:t>
            </w:r>
          </w:p>
        </w:tc>
        <w:tc>
          <w:tcPr>
            <w:tcW w:w="298" w:type="pct"/>
            <w:vAlign w:val="center"/>
          </w:tcPr>
          <w:p w:rsidR="00314A3D" w:rsidRPr="00624571" w:rsidRDefault="00314A3D" w:rsidP="008165A6">
            <w:pPr>
              <w:jc w:val="center"/>
              <w:rPr>
                <w:b/>
                <w:bCs/>
                <w:sz w:val="20"/>
              </w:rPr>
            </w:pPr>
            <w:r w:rsidRPr="00624571">
              <w:rPr>
                <w:b/>
                <w:bCs/>
                <w:sz w:val="20"/>
              </w:rPr>
              <w:t>Tarihi</w:t>
            </w:r>
          </w:p>
        </w:tc>
        <w:tc>
          <w:tcPr>
            <w:tcW w:w="404" w:type="pct"/>
            <w:vAlign w:val="center"/>
          </w:tcPr>
          <w:p w:rsidR="00314A3D" w:rsidRPr="00624571" w:rsidRDefault="00314A3D" w:rsidP="008165A6">
            <w:pPr>
              <w:jc w:val="center"/>
              <w:rPr>
                <w:b/>
                <w:bCs/>
                <w:sz w:val="20"/>
              </w:rPr>
            </w:pPr>
            <w:r w:rsidRPr="00624571">
              <w:rPr>
                <w:b/>
                <w:bCs/>
                <w:sz w:val="20"/>
              </w:rPr>
              <w:t>Seri-Sıra Numarası</w:t>
            </w:r>
          </w:p>
        </w:tc>
        <w:tc>
          <w:tcPr>
            <w:tcW w:w="341" w:type="pct"/>
            <w:vMerge/>
            <w:vAlign w:val="center"/>
          </w:tcPr>
          <w:p w:rsidR="00314A3D" w:rsidRPr="00624571" w:rsidRDefault="00314A3D" w:rsidP="008165A6">
            <w:pPr>
              <w:jc w:val="center"/>
              <w:rPr>
                <w:b/>
                <w:bCs/>
                <w:sz w:val="20"/>
              </w:rPr>
            </w:pPr>
          </w:p>
        </w:tc>
        <w:tc>
          <w:tcPr>
            <w:tcW w:w="360" w:type="pct"/>
            <w:vMerge/>
            <w:tcBorders>
              <w:right w:val="single" w:sz="18" w:space="0" w:color="auto"/>
            </w:tcBorders>
            <w:vAlign w:val="center"/>
          </w:tcPr>
          <w:p w:rsidR="00314A3D" w:rsidRPr="00624571" w:rsidRDefault="00314A3D" w:rsidP="008165A6">
            <w:pPr>
              <w:jc w:val="center"/>
              <w:rPr>
                <w:b/>
                <w:bCs/>
                <w:sz w:val="20"/>
              </w:rPr>
            </w:pPr>
          </w:p>
        </w:tc>
      </w:tr>
      <w:tr w:rsidR="008C6523" w:rsidRPr="00624571" w:rsidTr="0008196B">
        <w:trPr>
          <w:trHeight w:val="361"/>
        </w:trPr>
        <w:tc>
          <w:tcPr>
            <w:tcW w:w="638" w:type="pct"/>
            <w:tcBorders>
              <w:left w:val="single" w:sz="18" w:space="0" w:color="auto"/>
            </w:tcBorders>
            <w:noWrap/>
            <w:vAlign w:val="center"/>
          </w:tcPr>
          <w:p w:rsidR="00314A3D" w:rsidRPr="008C6523" w:rsidRDefault="00314A3D" w:rsidP="008165A6">
            <w:pPr>
              <w:jc w:val="center"/>
              <w:rPr>
                <w:sz w:val="18"/>
                <w:szCs w:val="18"/>
              </w:rPr>
            </w:pPr>
          </w:p>
        </w:tc>
        <w:tc>
          <w:tcPr>
            <w:tcW w:w="352" w:type="pct"/>
            <w:noWrap/>
            <w:vAlign w:val="center"/>
          </w:tcPr>
          <w:p w:rsidR="00314A3D" w:rsidRPr="008C6523" w:rsidRDefault="00314A3D" w:rsidP="008165A6">
            <w:pPr>
              <w:jc w:val="center"/>
              <w:rPr>
                <w:sz w:val="18"/>
                <w:szCs w:val="18"/>
              </w:rPr>
            </w:pPr>
          </w:p>
        </w:tc>
        <w:tc>
          <w:tcPr>
            <w:tcW w:w="201" w:type="pct"/>
            <w:noWrap/>
            <w:vAlign w:val="center"/>
          </w:tcPr>
          <w:p w:rsidR="00314A3D" w:rsidRPr="008C6523" w:rsidRDefault="00314A3D" w:rsidP="008165A6">
            <w:pPr>
              <w:jc w:val="center"/>
              <w:rPr>
                <w:sz w:val="18"/>
                <w:szCs w:val="18"/>
              </w:rPr>
            </w:pPr>
          </w:p>
        </w:tc>
        <w:tc>
          <w:tcPr>
            <w:tcW w:w="435" w:type="pct"/>
            <w:gridSpan w:val="2"/>
            <w:noWrap/>
            <w:vAlign w:val="center"/>
          </w:tcPr>
          <w:p w:rsidR="00314A3D" w:rsidRPr="008C6523" w:rsidRDefault="00314A3D" w:rsidP="008165A6">
            <w:pPr>
              <w:jc w:val="center"/>
              <w:rPr>
                <w:sz w:val="18"/>
                <w:szCs w:val="18"/>
              </w:rPr>
            </w:pPr>
          </w:p>
        </w:tc>
        <w:tc>
          <w:tcPr>
            <w:tcW w:w="341" w:type="pct"/>
            <w:noWrap/>
            <w:vAlign w:val="center"/>
          </w:tcPr>
          <w:p w:rsidR="00314A3D" w:rsidRPr="008C6523" w:rsidRDefault="00314A3D" w:rsidP="008165A6">
            <w:pPr>
              <w:jc w:val="center"/>
              <w:rPr>
                <w:sz w:val="18"/>
                <w:szCs w:val="18"/>
              </w:rPr>
            </w:pPr>
          </w:p>
        </w:tc>
        <w:tc>
          <w:tcPr>
            <w:tcW w:w="462" w:type="pct"/>
            <w:tcBorders>
              <w:right w:val="single" w:sz="18" w:space="0" w:color="auto"/>
            </w:tcBorders>
            <w:noWrap/>
            <w:vAlign w:val="center"/>
          </w:tcPr>
          <w:p w:rsidR="00314A3D" w:rsidRPr="008C6523" w:rsidRDefault="00314A3D" w:rsidP="008165A6">
            <w:pPr>
              <w:jc w:val="center"/>
              <w:rPr>
                <w:sz w:val="18"/>
                <w:szCs w:val="18"/>
              </w:rPr>
            </w:pPr>
          </w:p>
        </w:tc>
        <w:tc>
          <w:tcPr>
            <w:tcW w:w="403" w:type="pct"/>
            <w:tcBorders>
              <w:left w:val="single" w:sz="18" w:space="0" w:color="auto"/>
            </w:tcBorders>
            <w:noWrap/>
            <w:vAlign w:val="center"/>
          </w:tcPr>
          <w:p w:rsidR="00314A3D" w:rsidRPr="00624571" w:rsidRDefault="00314A3D" w:rsidP="008165A6">
            <w:pPr>
              <w:jc w:val="center"/>
              <w:rPr>
                <w:sz w:val="20"/>
              </w:rPr>
            </w:pPr>
          </w:p>
        </w:tc>
        <w:tc>
          <w:tcPr>
            <w:tcW w:w="435" w:type="pct"/>
            <w:gridSpan w:val="2"/>
            <w:noWrap/>
            <w:vAlign w:val="center"/>
          </w:tcPr>
          <w:p w:rsidR="00314A3D" w:rsidRPr="00624571" w:rsidRDefault="00314A3D" w:rsidP="008165A6">
            <w:pPr>
              <w:jc w:val="center"/>
              <w:rPr>
                <w:sz w:val="20"/>
              </w:rPr>
            </w:pPr>
          </w:p>
        </w:tc>
        <w:tc>
          <w:tcPr>
            <w:tcW w:w="330" w:type="pct"/>
            <w:noWrap/>
            <w:vAlign w:val="center"/>
          </w:tcPr>
          <w:p w:rsidR="00314A3D" w:rsidRPr="00624571" w:rsidRDefault="00314A3D" w:rsidP="008165A6">
            <w:pPr>
              <w:jc w:val="center"/>
              <w:rPr>
                <w:sz w:val="20"/>
              </w:rPr>
            </w:pPr>
          </w:p>
        </w:tc>
        <w:tc>
          <w:tcPr>
            <w:tcW w:w="298" w:type="pct"/>
            <w:noWrap/>
            <w:vAlign w:val="center"/>
          </w:tcPr>
          <w:p w:rsidR="00314A3D" w:rsidRPr="00624571" w:rsidRDefault="00314A3D" w:rsidP="008165A6">
            <w:pPr>
              <w:jc w:val="center"/>
              <w:rPr>
                <w:sz w:val="20"/>
              </w:rPr>
            </w:pPr>
          </w:p>
        </w:tc>
        <w:tc>
          <w:tcPr>
            <w:tcW w:w="404" w:type="pct"/>
            <w:noWrap/>
            <w:vAlign w:val="center"/>
          </w:tcPr>
          <w:p w:rsidR="00314A3D" w:rsidRPr="00624571" w:rsidRDefault="00314A3D" w:rsidP="008165A6">
            <w:pPr>
              <w:jc w:val="center"/>
              <w:rPr>
                <w:sz w:val="20"/>
              </w:rPr>
            </w:pPr>
          </w:p>
        </w:tc>
        <w:tc>
          <w:tcPr>
            <w:tcW w:w="341" w:type="pct"/>
            <w:noWrap/>
            <w:vAlign w:val="center"/>
          </w:tcPr>
          <w:p w:rsidR="00314A3D" w:rsidRPr="00624571" w:rsidRDefault="00314A3D" w:rsidP="008165A6">
            <w:pPr>
              <w:jc w:val="center"/>
              <w:rPr>
                <w:sz w:val="20"/>
              </w:rPr>
            </w:pPr>
          </w:p>
        </w:tc>
        <w:tc>
          <w:tcPr>
            <w:tcW w:w="360" w:type="pct"/>
            <w:tcBorders>
              <w:right w:val="single" w:sz="18" w:space="0" w:color="auto"/>
            </w:tcBorders>
            <w:noWrap/>
            <w:vAlign w:val="center"/>
          </w:tcPr>
          <w:p w:rsidR="00314A3D" w:rsidRPr="00624571" w:rsidRDefault="00314A3D" w:rsidP="008165A6">
            <w:pPr>
              <w:jc w:val="center"/>
              <w:rPr>
                <w:sz w:val="20"/>
              </w:rPr>
            </w:pPr>
          </w:p>
        </w:tc>
      </w:tr>
      <w:tr w:rsidR="008C6523" w:rsidRPr="00624571" w:rsidTr="0008196B">
        <w:trPr>
          <w:trHeight w:val="344"/>
        </w:trPr>
        <w:tc>
          <w:tcPr>
            <w:tcW w:w="638" w:type="pct"/>
            <w:tcBorders>
              <w:left w:val="single" w:sz="18" w:space="0" w:color="auto"/>
            </w:tcBorders>
            <w:noWrap/>
          </w:tcPr>
          <w:p w:rsidR="00314A3D" w:rsidRPr="008C6523" w:rsidRDefault="00314A3D" w:rsidP="008165A6">
            <w:pPr>
              <w:rPr>
                <w:sz w:val="18"/>
                <w:szCs w:val="18"/>
              </w:rPr>
            </w:pPr>
            <w:r w:rsidRPr="008C6523">
              <w:rPr>
                <w:sz w:val="18"/>
                <w:szCs w:val="18"/>
              </w:rPr>
              <w:t> </w:t>
            </w:r>
          </w:p>
        </w:tc>
        <w:tc>
          <w:tcPr>
            <w:tcW w:w="352" w:type="pct"/>
            <w:noWrap/>
          </w:tcPr>
          <w:p w:rsidR="00314A3D" w:rsidRPr="008C6523" w:rsidRDefault="00314A3D" w:rsidP="008165A6">
            <w:pPr>
              <w:rPr>
                <w:sz w:val="18"/>
                <w:szCs w:val="18"/>
              </w:rPr>
            </w:pPr>
            <w:r w:rsidRPr="008C6523">
              <w:rPr>
                <w:sz w:val="18"/>
                <w:szCs w:val="18"/>
              </w:rPr>
              <w:t> </w:t>
            </w:r>
          </w:p>
        </w:tc>
        <w:tc>
          <w:tcPr>
            <w:tcW w:w="201" w:type="pct"/>
            <w:noWrap/>
          </w:tcPr>
          <w:p w:rsidR="00314A3D" w:rsidRPr="008C6523" w:rsidRDefault="00314A3D" w:rsidP="008165A6">
            <w:pPr>
              <w:rPr>
                <w:sz w:val="18"/>
                <w:szCs w:val="18"/>
              </w:rPr>
            </w:pPr>
            <w:r w:rsidRPr="008C6523">
              <w:rPr>
                <w:sz w:val="18"/>
                <w:szCs w:val="18"/>
              </w:rPr>
              <w:t> </w:t>
            </w:r>
          </w:p>
        </w:tc>
        <w:tc>
          <w:tcPr>
            <w:tcW w:w="435" w:type="pct"/>
            <w:gridSpan w:val="2"/>
            <w:noWrap/>
          </w:tcPr>
          <w:p w:rsidR="00314A3D" w:rsidRPr="008C6523" w:rsidRDefault="00314A3D" w:rsidP="008165A6">
            <w:pPr>
              <w:rPr>
                <w:sz w:val="18"/>
                <w:szCs w:val="18"/>
              </w:rPr>
            </w:pPr>
            <w:r w:rsidRPr="008C6523">
              <w:rPr>
                <w:sz w:val="18"/>
                <w:szCs w:val="18"/>
              </w:rPr>
              <w:t> </w:t>
            </w:r>
          </w:p>
        </w:tc>
        <w:tc>
          <w:tcPr>
            <w:tcW w:w="341" w:type="pct"/>
            <w:noWrap/>
          </w:tcPr>
          <w:p w:rsidR="00314A3D" w:rsidRPr="008C6523" w:rsidRDefault="00314A3D" w:rsidP="008165A6">
            <w:pPr>
              <w:rPr>
                <w:sz w:val="18"/>
                <w:szCs w:val="18"/>
              </w:rPr>
            </w:pPr>
            <w:r w:rsidRPr="008C6523">
              <w:rPr>
                <w:sz w:val="18"/>
                <w:szCs w:val="18"/>
              </w:rPr>
              <w:t> </w:t>
            </w:r>
          </w:p>
        </w:tc>
        <w:tc>
          <w:tcPr>
            <w:tcW w:w="462" w:type="pct"/>
            <w:tcBorders>
              <w:right w:val="single" w:sz="18" w:space="0" w:color="auto"/>
            </w:tcBorders>
            <w:noWrap/>
          </w:tcPr>
          <w:p w:rsidR="00314A3D" w:rsidRPr="008C6523" w:rsidRDefault="00314A3D" w:rsidP="008165A6">
            <w:pPr>
              <w:rPr>
                <w:sz w:val="18"/>
                <w:szCs w:val="18"/>
              </w:rPr>
            </w:pPr>
            <w:r w:rsidRPr="008C6523">
              <w:rPr>
                <w:sz w:val="18"/>
                <w:szCs w:val="18"/>
              </w:rPr>
              <w:t> </w:t>
            </w:r>
          </w:p>
        </w:tc>
        <w:tc>
          <w:tcPr>
            <w:tcW w:w="403" w:type="pct"/>
            <w:tcBorders>
              <w:left w:val="single" w:sz="18" w:space="0" w:color="auto"/>
            </w:tcBorders>
            <w:noWrap/>
          </w:tcPr>
          <w:p w:rsidR="00314A3D" w:rsidRPr="00624571" w:rsidRDefault="00314A3D" w:rsidP="008165A6">
            <w:pPr>
              <w:rPr>
                <w:sz w:val="20"/>
              </w:rPr>
            </w:pPr>
            <w:r w:rsidRPr="00624571">
              <w:rPr>
                <w:sz w:val="20"/>
              </w:rPr>
              <w:t> </w:t>
            </w:r>
          </w:p>
        </w:tc>
        <w:tc>
          <w:tcPr>
            <w:tcW w:w="435" w:type="pct"/>
            <w:gridSpan w:val="2"/>
            <w:noWrap/>
          </w:tcPr>
          <w:p w:rsidR="00314A3D" w:rsidRPr="00624571" w:rsidRDefault="00314A3D" w:rsidP="008165A6">
            <w:pPr>
              <w:rPr>
                <w:sz w:val="20"/>
              </w:rPr>
            </w:pPr>
            <w:r w:rsidRPr="00624571">
              <w:rPr>
                <w:sz w:val="20"/>
              </w:rPr>
              <w:t> </w:t>
            </w:r>
          </w:p>
        </w:tc>
        <w:tc>
          <w:tcPr>
            <w:tcW w:w="330" w:type="pct"/>
            <w:noWrap/>
          </w:tcPr>
          <w:p w:rsidR="00314A3D" w:rsidRPr="00624571" w:rsidRDefault="00314A3D" w:rsidP="008165A6">
            <w:pPr>
              <w:rPr>
                <w:sz w:val="20"/>
              </w:rPr>
            </w:pPr>
            <w:r w:rsidRPr="00624571">
              <w:rPr>
                <w:sz w:val="20"/>
              </w:rPr>
              <w:t> </w:t>
            </w:r>
          </w:p>
        </w:tc>
        <w:tc>
          <w:tcPr>
            <w:tcW w:w="298" w:type="pct"/>
            <w:noWrap/>
          </w:tcPr>
          <w:p w:rsidR="00314A3D" w:rsidRPr="00624571" w:rsidRDefault="00314A3D" w:rsidP="008165A6">
            <w:pPr>
              <w:rPr>
                <w:sz w:val="20"/>
              </w:rPr>
            </w:pPr>
            <w:r w:rsidRPr="00624571">
              <w:rPr>
                <w:sz w:val="20"/>
              </w:rPr>
              <w:t> </w:t>
            </w:r>
          </w:p>
        </w:tc>
        <w:tc>
          <w:tcPr>
            <w:tcW w:w="404" w:type="pct"/>
            <w:noWrap/>
          </w:tcPr>
          <w:p w:rsidR="00314A3D" w:rsidRPr="00624571" w:rsidRDefault="00314A3D" w:rsidP="008165A6">
            <w:pPr>
              <w:rPr>
                <w:sz w:val="20"/>
              </w:rPr>
            </w:pPr>
            <w:r w:rsidRPr="00624571">
              <w:rPr>
                <w:sz w:val="20"/>
              </w:rPr>
              <w:t> </w:t>
            </w:r>
          </w:p>
        </w:tc>
        <w:tc>
          <w:tcPr>
            <w:tcW w:w="341" w:type="pct"/>
            <w:noWrap/>
          </w:tcPr>
          <w:p w:rsidR="00314A3D" w:rsidRPr="00624571" w:rsidRDefault="00314A3D" w:rsidP="008165A6">
            <w:pPr>
              <w:rPr>
                <w:sz w:val="20"/>
              </w:rPr>
            </w:pPr>
            <w:r w:rsidRPr="00624571">
              <w:rPr>
                <w:sz w:val="20"/>
              </w:rPr>
              <w:t> </w:t>
            </w:r>
          </w:p>
        </w:tc>
        <w:tc>
          <w:tcPr>
            <w:tcW w:w="360" w:type="pct"/>
            <w:tcBorders>
              <w:right w:val="single" w:sz="18" w:space="0" w:color="auto"/>
            </w:tcBorders>
            <w:noWrap/>
          </w:tcPr>
          <w:p w:rsidR="00314A3D" w:rsidRPr="00624571" w:rsidRDefault="00314A3D" w:rsidP="008165A6">
            <w:pPr>
              <w:rPr>
                <w:sz w:val="20"/>
              </w:rPr>
            </w:pPr>
            <w:r w:rsidRPr="00624571">
              <w:rPr>
                <w:sz w:val="20"/>
              </w:rPr>
              <w:t> </w:t>
            </w:r>
          </w:p>
        </w:tc>
      </w:tr>
      <w:tr w:rsidR="008C6523" w:rsidRPr="00624571" w:rsidTr="0008196B">
        <w:trPr>
          <w:trHeight w:val="344"/>
        </w:trPr>
        <w:tc>
          <w:tcPr>
            <w:tcW w:w="638" w:type="pct"/>
            <w:tcBorders>
              <w:left w:val="single" w:sz="18" w:space="0" w:color="auto"/>
            </w:tcBorders>
            <w:noWrap/>
          </w:tcPr>
          <w:p w:rsidR="00314A3D" w:rsidRPr="008C6523" w:rsidRDefault="00314A3D" w:rsidP="008165A6">
            <w:pPr>
              <w:rPr>
                <w:sz w:val="18"/>
                <w:szCs w:val="18"/>
              </w:rPr>
            </w:pPr>
            <w:r w:rsidRPr="008C6523">
              <w:rPr>
                <w:sz w:val="18"/>
                <w:szCs w:val="18"/>
              </w:rPr>
              <w:t> </w:t>
            </w:r>
          </w:p>
        </w:tc>
        <w:tc>
          <w:tcPr>
            <w:tcW w:w="352" w:type="pct"/>
            <w:noWrap/>
          </w:tcPr>
          <w:p w:rsidR="00314A3D" w:rsidRPr="008C6523" w:rsidRDefault="00314A3D" w:rsidP="008165A6">
            <w:pPr>
              <w:rPr>
                <w:sz w:val="18"/>
                <w:szCs w:val="18"/>
              </w:rPr>
            </w:pPr>
            <w:r w:rsidRPr="008C6523">
              <w:rPr>
                <w:sz w:val="18"/>
                <w:szCs w:val="18"/>
              </w:rPr>
              <w:t> </w:t>
            </w:r>
          </w:p>
        </w:tc>
        <w:tc>
          <w:tcPr>
            <w:tcW w:w="201" w:type="pct"/>
            <w:noWrap/>
          </w:tcPr>
          <w:p w:rsidR="00314A3D" w:rsidRPr="008C6523" w:rsidRDefault="00314A3D" w:rsidP="008165A6">
            <w:pPr>
              <w:rPr>
                <w:sz w:val="18"/>
                <w:szCs w:val="18"/>
              </w:rPr>
            </w:pPr>
            <w:r w:rsidRPr="008C6523">
              <w:rPr>
                <w:sz w:val="18"/>
                <w:szCs w:val="18"/>
              </w:rPr>
              <w:t> </w:t>
            </w:r>
          </w:p>
        </w:tc>
        <w:tc>
          <w:tcPr>
            <w:tcW w:w="435" w:type="pct"/>
            <w:gridSpan w:val="2"/>
            <w:noWrap/>
          </w:tcPr>
          <w:p w:rsidR="00314A3D" w:rsidRPr="008C6523" w:rsidRDefault="00314A3D" w:rsidP="008165A6">
            <w:pPr>
              <w:rPr>
                <w:sz w:val="18"/>
                <w:szCs w:val="18"/>
              </w:rPr>
            </w:pPr>
            <w:r w:rsidRPr="008C6523">
              <w:rPr>
                <w:sz w:val="18"/>
                <w:szCs w:val="18"/>
              </w:rPr>
              <w:t> </w:t>
            </w:r>
          </w:p>
        </w:tc>
        <w:tc>
          <w:tcPr>
            <w:tcW w:w="341" w:type="pct"/>
            <w:noWrap/>
          </w:tcPr>
          <w:p w:rsidR="00314A3D" w:rsidRPr="008C6523" w:rsidRDefault="00314A3D" w:rsidP="008165A6">
            <w:pPr>
              <w:rPr>
                <w:sz w:val="18"/>
                <w:szCs w:val="18"/>
              </w:rPr>
            </w:pPr>
            <w:r w:rsidRPr="008C6523">
              <w:rPr>
                <w:sz w:val="18"/>
                <w:szCs w:val="18"/>
              </w:rPr>
              <w:t> </w:t>
            </w:r>
          </w:p>
        </w:tc>
        <w:tc>
          <w:tcPr>
            <w:tcW w:w="462" w:type="pct"/>
            <w:tcBorders>
              <w:right w:val="single" w:sz="18" w:space="0" w:color="auto"/>
            </w:tcBorders>
            <w:noWrap/>
          </w:tcPr>
          <w:p w:rsidR="00314A3D" w:rsidRPr="008C6523" w:rsidRDefault="00314A3D" w:rsidP="008165A6">
            <w:pPr>
              <w:rPr>
                <w:sz w:val="18"/>
                <w:szCs w:val="18"/>
              </w:rPr>
            </w:pPr>
            <w:r w:rsidRPr="008C6523">
              <w:rPr>
                <w:sz w:val="18"/>
                <w:szCs w:val="18"/>
              </w:rPr>
              <w:t> </w:t>
            </w:r>
          </w:p>
        </w:tc>
        <w:tc>
          <w:tcPr>
            <w:tcW w:w="403" w:type="pct"/>
            <w:tcBorders>
              <w:left w:val="single" w:sz="18" w:space="0" w:color="auto"/>
            </w:tcBorders>
            <w:noWrap/>
          </w:tcPr>
          <w:p w:rsidR="00314A3D" w:rsidRPr="00624571" w:rsidRDefault="00314A3D" w:rsidP="008165A6">
            <w:pPr>
              <w:rPr>
                <w:sz w:val="20"/>
              </w:rPr>
            </w:pPr>
            <w:r w:rsidRPr="00624571">
              <w:rPr>
                <w:sz w:val="20"/>
              </w:rPr>
              <w:t> </w:t>
            </w:r>
          </w:p>
        </w:tc>
        <w:tc>
          <w:tcPr>
            <w:tcW w:w="435" w:type="pct"/>
            <w:gridSpan w:val="2"/>
            <w:noWrap/>
          </w:tcPr>
          <w:p w:rsidR="00314A3D" w:rsidRPr="00624571" w:rsidRDefault="00314A3D" w:rsidP="008165A6">
            <w:pPr>
              <w:rPr>
                <w:sz w:val="20"/>
              </w:rPr>
            </w:pPr>
            <w:r w:rsidRPr="00624571">
              <w:rPr>
                <w:sz w:val="20"/>
              </w:rPr>
              <w:t> </w:t>
            </w:r>
          </w:p>
        </w:tc>
        <w:tc>
          <w:tcPr>
            <w:tcW w:w="330" w:type="pct"/>
            <w:noWrap/>
          </w:tcPr>
          <w:p w:rsidR="00314A3D" w:rsidRPr="00624571" w:rsidRDefault="00314A3D" w:rsidP="008165A6">
            <w:pPr>
              <w:rPr>
                <w:sz w:val="20"/>
              </w:rPr>
            </w:pPr>
            <w:r w:rsidRPr="00624571">
              <w:rPr>
                <w:sz w:val="20"/>
              </w:rPr>
              <w:t> </w:t>
            </w:r>
          </w:p>
        </w:tc>
        <w:tc>
          <w:tcPr>
            <w:tcW w:w="298" w:type="pct"/>
            <w:noWrap/>
          </w:tcPr>
          <w:p w:rsidR="00314A3D" w:rsidRPr="00624571" w:rsidRDefault="00314A3D" w:rsidP="008165A6">
            <w:pPr>
              <w:rPr>
                <w:sz w:val="20"/>
              </w:rPr>
            </w:pPr>
            <w:r w:rsidRPr="00624571">
              <w:rPr>
                <w:sz w:val="20"/>
              </w:rPr>
              <w:t> </w:t>
            </w:r>
          </w:p>
        </w:tc>
        <w:tc>
          <w:tcPr>
            <w:tcW w:w="404" w:type="pct"/>
            <w:noWrap/>
          </w:tcPr>
          <w:p w:rsidR="00314A3D" w:rsidRPr="00624571" w:rsidRDefault="00314A3D" w:rsidP="008165A6">
            <w:pPr>
              <w:rPr>
                <w:sz w:val="20"/>
              </w:rPr>
            </w:pPr>
            <w:r w:rsidRPr="00624571">
              <w:rPr>
                <w:sz w:val="20"/>
              </w:rPr>
              <w:t> </w:t>
            </w:r>
          </w:p>
        </w:tc>
        <w:tc>
          <w:tcPr>
            <w:tcW w:w="341" w:type="pct"/>
            <w:noWrap/>
          </w:tcPr>
          <w:p w:rsidR="00314A3D" w:rsidRPr="00624571" w:rsidRDefault="00314A3D" w:rsidP="008165A6">
            <w:pPr>
              <w:rPr>
                <w:sz w:val="20"/>
              </w:rPr>
            </w:pPr>
            <w:r w:rsidRPr="00624571">
              <w:rPr>
                <w:sz w:val="20"/>
              </w:rPr>
              <w:t> </w:t>
            </w:r>
          </w:p>
        </w:tc>
        <w:tc>
          <w:tcPr>
            <w:tcW w:w="360" w:type="pct"/>
            <w:tcBorders>
              <w:right w:val="single" w:sz="18" w:space="0" w:color="auto"/>
            </w:tcBorders>
            <w:noWrap/>
          </w:tcPr>
          <w:p w:rsidR="00314A3D" w:rsidRPr="00624571" w:rsidRDefault="00314A3D" w:rsidP="008165A6">
            <w:pPr>
              <w:rPr>
                <w:sz w:val="20"/>
              </w:rPr>
            </w:pPr>
            <w:r w:rsidRPr="00624571">
              <w:rPr>
                <w:sz w:val="20"/>
              </w:rPr>
              <w:t> </w:t>
            </w:r>
          </w:p>
        </w:tc>
      </w:tr>
      <w:tr w:rsidR="008C6523" w:rsidRPr="00624571" w:rsidTr="0008196B">
        <w:trPr>
          <w:trHeight w:val="344"/>
        </w:trPr>
        <w:tc>
          <w:tcPr>
            <w:tcW w:w="638" w:type="pct"/>
            <w:tcBorders>
              <w:left w:val="single" w:sz="18" w:space="0" w:color="auto"/>
            </w:tcBorders>
            <w:noWrap/>
          </w:tcPr>
          <w:p w:rsidR="00314A3D" w:rsidRPr="008C6523" w:rsidRDefault="00314A3D" w:rsidP="008165A6">
            <w:pPr>
              <w:rPr>
                <w:sz w:val="18"/>
                <w:szCs w:val="18"/>
              </w:rPr>
            </w:pPr>
            <w:r w:rsidRPr="008C6523">
              <w:rPr>
                <w:sz w:val="18"/>
                <w:szCs w:val="18"/>
              </w:rPr>
              <w:t> </w:t>
            </w:r>
          </w:p>
        </w:tc>
        <w:tc>
          <w:tcPr>
            <w:tcW w:w="352" w:type="pct"/>
            <w:noWrap/>
          </w:tcPr>
          <w:p w:rsidR="00314A3D" w:rsidRPr="008C6523" w:rsidRDefault="00314A3D" w:rsidP="008165A6">
            <w:pPr>
              <w:rPr>
                <w:sz w:val="18"/>
                <w:szCs w:val="18"/>
              </w:rPr>
            </w:pPr>
            <w:r w:rsidRPr="008C6523">
              <w:rPr>
                <w:sz w:val="18"/>
                <w:szCs w:val="18"/>
              </w:rPr>
              <w:t> </w:t>
            </w:r>
          </w:p>
        </w:tc>
        <w:tc>
          <w:tcPr>
            <w:tcW w:w="201" w:type="pct"/>
            <w:noWrap/>
          </w:tcPr>
          <w:p w:rsidR="00314A3D" w:rsidRPr="008C6523" w:rsidRDefault="00314A3D" w:rsidP="008165A6">
            <w:pPr>
              <w:rPr>
                <w:sz w:val="18"/>
                <w:szCs w:val="18"/>
              </w:rPr>
            </w:pPr>
            <w:r w:rsidRPr="008C6523">
              <w:rPr>
                <w:sz w:val="18"/>
                <w:szCs w:val="18"/>
              </w:rPr>
              <w:t> </w:t>
            </w:r>
          </w:p>
        </w:tc>
        <w:tc>
          <w:tcPr>
            <w:tcW w:w="435" w:type="pct"/>
            <w:gridSpan w:val="2"/>
            <w:noWrap/>
          </w:tcPr>
          <w:p w:rsidR="00314A3D" w:rsidRPr="008C6523" w:rsidRDefault="00314A3D" w:rsidP="008165A6">
            <w:pPr>
              <w:rPr>
                <w:sz w:val="18"/>
                <w:szCs w:val="18"/>
              </w:rPr>
            </w:pPr>
            <w:r w:rsidRPr="008C6523">
              <w:rPr>
                <w:sz w:val="18"/>
                <w:szCs w:val="18"/>
              </w:rPr>
              <w:t> </w:t>
            </w:r>
          </w:p>
        </w:tc>
        <w:tc>
          <w:tcPr>
            <w:tcW w:w="341" w:type="pct"/>
            <w:noWrap/>
          </w:tcPr>
          <w:p w:rsidR="00314A3D" w:rsidRPr="008C6523" w:rsidRDefault="00314A3D" w:rsidP="008165A6">
            <w:pPr>
              <w:rPr>
                <w:sz w:val="18"/>
                <w:szCs w:val="18"/>
              </w:rPr>
            </w:pPr>
            <w:r w:rsidRPr="008C6523">
              <w:rPr>
                <w:sz w:val="18"/>
                <w:szCs w:val="18"/>
              </w:rPr>
              <w:t> </w:t>
            </w:r>
          </w:p>
        </w:tc>
        <w:tc>
          <w:tcPr>
            <w:tcW w:w="462" w:type="pct"/>
            <w:tcBorders>
              <w:right w:val="single" w:sz="18" w:space="0" w:color="auto"/>
            </w:tcBorders>
            <w:noWrap/>
          </w:tcPr>
          <w:p w:rsidR="00314A3D" w:rsidRPr="008C6523" w:rsidRDefault="00314A3D" w:rsidP="008165A6">
            <w:pPr>
              <w:rPr>
                <w:sz w:val="18"/>
                <w:szCs w:val="18"/>
              </w:rPr>
            </w:pPr>
            <w:r w:rsidRPr="008C6523">
              <w:rPr>
                <w:sz w:val="18"/>
                <w:szCs w:val="18"/>
              </w:rPr>
              <w:t> </w:t>
            </w:r>
          </w:p>
        </w:tc>
        <w:tc>
          <w:tcPr>
            <w:tcW w:w="403" w:type="pct"/>
            <w:tcBorders>
              <w:left w:val="single" w:sz="18" w:space="0" w:color="auto"/>
            </w:tcBorders>
            <w:noWrap/>
          </w:tcPr>
          <w:p w:rsidR="00314A3D" w:rsidRPr="00624571" w:rsidRDefault="00314A3D" w:rsidP="008165A6">
            <w:pPr>
              <w:rPr>
                <w:sz w:val="20"/>
              </w:rPr>
            </w:pPr>
            <w:r w:rsidRPr="00624571">
              <w:rPr>
                <w:sz w:val="20"/>
              </w:rPr>
              <w:t> </w:t>
            </w:r>
          </w:p>
        </w:tc>
        <w:tc>
          <w:tcPr>
            <w:tcW w:w="435" w:type="pct"/>
            <w:gridSpan w:val="2"/>
            <w:noWrap/>
          </w:tcPr>
          <w:p w:rsidR="00314A3D" w:rsidRPr="00624571" w:rsidRDefault="00314A3D" w:rsidP="008165A6">
            <w:pPr>
              <w:rPr>
                <w:sz w:val="20"/>
              </w:rPr>
            </w:pPr>
            <w:r w:rsidRPr="00624571">
              <w:rPr>
                <w:sz w:val="20"/>
              </w:rPr>
              <w:t> </w:t>
            </w:r>
          </w:p>
        </w:tc>
        <w:tc>
          <w:tcPr>
            <w:tcW w:w="330" w:type="pct"/>
            <w:noWrap/>
          </w:tcPr>
          <w:p w:rsidR="00314A3D" w:rsidRPr="00624571" w:rsidRDefault="00314A3D" w:rsidP="008165A6">
            <w:pPr>
              <w:rPr>
                <w:sz w:val="20"/>
              </w:rPr>
            </w:pPr>
            <w:r w:rsidRPr="00624571">
              <w:rPr>
                <w:sz w:val="20"/>
              </w:rPr>
              <w:t> </w:t>
            </w:r>
          </w:p>
        </w:tc>
        <w:tc>
          <w:tcPr>
            <w:tcW w:w="298" w:type="pct"/>
            <w:noWrap/>
          </w:tcPr>
          <w:p w:rsidR="00314A3D" w:rsidRPr="00624571" w:rsidRDefault="00314A3D" w:rsidP="008165A6">
            <w:pPr>
              <w:rPr>
                <w:sz w:val="20"/>
              </w:rPr>
            </w:pPr>
            <w:r w:rsidRPr="00624571">
              <w:rPr>
                <w:sz w:val="20"/>
              </w:rPr>
              <w:t> </w:t>
            </w:r>
          </w:p>
        </w:tc>
        <w:tc>
          <w:tcPr>
            <w:tcW w:w="404" w:type="pct"/>
            <w:noWrap/>
          </w:tcPr>
          <w:p w:rsidR="00314A3D" w:rsidRPr="00624571" w:rsidRDefault="00314A3D" w:rsidP="008165A6">
            <w:pPr>
              <w:rPr>
                <w:sz w:val="20"/>
              </w:rPr>
            </w:pPr>
            <w:r w:rsidRPr="00624571">
              <w:rPr>
                <w:sz w:val="20"/>
              </w:rPr>
              <w:t> </w:t>
            </w:r>
          </w:p>
        </w:tc>
        <w:tc>
          <w:tcPr>
            <w:tcW w:w="341" w:type="pct"/>
            <w:noWrap/>
          </w:tcPr>
          <w:p w:rsidR="00314A3D" w:rsidRPr="00624571" w:rsidRDefault="00314A3D" w:rsidP="008165A6">
            <w:pPr>
              <w:rPr>
                <w:sz w:val="20"/>
              </w:rPr>
            </w:pPr>
            <w:r w:rsidRPr="00624571">
              <w:rPr>
                <w:sz w:val="20"/>
              </w:rPr>
              <w:t> </w:t>
            </w:r>
          </w:p>
        </w:tc>
        <w:tc>
          <w:tcPr>
            <w:tcW w:w="360" w:type="pct"/>
            <w:tcBorders>
              <w:right w:val="single" w:sz="18" w:space="0" w:color="auto"/>
            </w:tcBorders>
            <w:noWrap/>
          </w:tcPr>
          <w:p w:rsidR="00314A3D" w:rsidRPr="00624571" w:rsidRDefault="00314A3D" w:rsidP="008165A6">
            <w:pPr>
              <w:rPr>
                <w:sz w:val="20"/>
              </w:rPr>
            </w:pPr>
            <w:r w:rsidRPr="00624571">
              <w:rPr>
                <w:sz w:val="20"/>
              </w:rPr>
              <w:t> </w:t>
            </w:r>
          </w:p>
        </w:tc>
      </w:tr>
      <w:tr w:rsidR="008C6523" w:rsidRPr="00624571" w:rsidTr="0008196B">
        <w:trPr>
          <w:trHeight w:val="344"/>
        </w:trPr>
        <w:tc>
          <w:tcPr>
            <w:tcW w:w="638" w:type="pct"/>
            <w:tcBorders>
              <w:left w:val="single" w:sz="18" w:space="0" w:color="auto"/>
            </w:tcBorders>
            <w:noWrap/>
          </w:tcPr>
          <w:p w:rsidR="00314A3D" w:rsidRPr="008C6523" w:rsidRDefault="00314A3D" w:rsidP="008165A6">
            <w:pPr>
              <w:rPr>
                <w:sz w:val="18"/>
                <w:szCs w:val="18"/>
              </w:rPr>
            </w:pPr>
            <w:r w:rsidRPr="008C6523">
              <w:rPr>
                <w:sz w:val="18"/>
                <w:szCs w:val="18"/>
              </w:rPr>
              <w:t> </w:t>
            </w:r>
          </w:p>
        </w:tc>
        <w:tc>
          <w:tcPr>
            <w:tcW w:w="352" w:type="pct"/>
            <w:noWrap/>
          </w:tcPr>
          <w:p w:rsidR="00314A3D" w:rsidRPr="008C6523" w:rsidRDefault="00314A3D" w:rsidP="008165A6">
            <w:pPr>
              <w:rPr>
                <w:sz w:val="18"/>
                <w:szCs w:val="18"/>
              </w:rPr>
            </w:pPr>
            <w:r w:rsidRPr="008C6523">
              <w:rPr>
                <w:sz w:val="18"/>
                <w:szCs w:val="18"/>
              </w:rPr>
              <w:t> </w:t>
            </w:r>
          </w:p>
        </w:tc>
        <w:tc>
          <w:tcPr>
            <w:tcW w:w="201" w:type="pct"/>
            <w:noWrap/>
          </w:tcPr>
          <w:p w:rsidR="00314A3D" w:rsidRPr="008C6523" w:rsidRDefault="00314A3D" w:rsidP="008165A6">
            <w:pPr>
              <w:rPr>
                <w:sz w:val="18"/>
                <w:szCs w:val="18"/>
              </w:rPr>
            </w:pPr>
            <w:r w:rsidRPr="008C6523">
              <w:rPr>
                <w:sz w:val="18"/>
                <w:szCs w:val="18"/>
              </w:rPr>
              <w:t> </w:t>
            </w:r>
          </w:p>
        </w:tc>
        <w:tc>
          <w:tcPr>
            <w:tcW w:w="435" w:type="pct"/>
            <w:gridSpan w:val="2"/>
            <w:noWrap/>
          </w:tcPr>
          <w:p w:rsidR="00314A3D" w:rsidRPr="008C6523" w:rsidRDefault="00314A3D" w:rsidP="008165A6">
            <w:pPr>
              <w:rPr>
                <w:sz w:val="18"/>
                <w:szCs w:val="18"/>
              </w:rPr>
            </w:pPr>
            <w:r w:rsidRPr="008C6523">
              <w:rPr>
                <w:sz w:val="18"/>
                <w:szCs w:val="18"/>
              </w:rPr>
              <w:t> </w:t>
            </w:r>
          </w:p>
        </w:tc>
        <w:tc>
          <w:tcPr>
            <w:tcW w:w="341" w:type="pct"/>
            <w:noWrap/>
          </w:tcPr>
          <w:p w:rsidR="00314A3D" w:rsidRPr="008C6523" w:rsidRDefault="00314A3D" w:rsidP="008165A6">
            <w:pPr>
              <w:rPr>
                <w:sz w:val="18"/>
                <w:szCs w:val="18"/>
              </w:rPr>
            </w:pPr>
            <w:r w:rsidRPr="008C6523">
              <w:rPr>
                <w:sz w:val="18"/>
                <w:szCs w:val="18"/>
              </w:rPr>
              <w:t> </w:t>
            </w:r>
          </w:p>
        </w:tc>
        <w:tc>
          <w:tcPr>
            <w:tcW w:w="462" w:type="pct"/>
            <w:tcBorders>
              <w:right w:val="single" w:sz="18" w:space="0" w:color="auto"/>
            </w:tcBorders>
            <w:noWrap/>
          </w:tcPr>
          <w:p w:rsidR="00314A3D" w:rsidRPr="008C6523" w:rsidRDefault="00314A3D" w:rsidP="008165A6">
            <w:pPr>
              <w:rPr>
                <w:sz w:val="18"/>
                <w:szCs w:val="18"/>
              </w:rPr>
            </w:pPr>
            <w:r w:rsidRPr="008C6523">
              <w:rPr>
                <w:sz w:val="18"/>
                <w:szCs w:val="18"/>
              </w:rPr>
              <w:t> </w:t>
            </w:r>
          </w:p>
        </w:tc>
        <w:tc>
          <w:tcPr>
            <w:tcW w:w="403" w:type="pct"/>
            <w:tcBorders>
              <w:left w:val="single" w:sz="18" w:space="0" w:color="auto"/>
            </w:tcBorders>
            <w:noWrap/>
          </w:tcPr>
          <w:p w:rsidR="00314A3D" w:rsidRPr="00624571" w:rsidRDefault="00314A3D" w:rsidP="008165A6">
            <w:pPr>
              <w:rPr>
                <w:sz w:val="20"/>
              </w:rPr>
            </w:pPr>
            <w:r w:rsidRPr="00624571">
              <w:rPr>
                <w:sz w:val="20"/>
              </w:rPr>
              <w:t> </w:t>
            </w:r>
          </w:p>
        </w:tc>
        <w:tc>
          <w:tcPr>
            <w:tcW w:w="435" w:type="pct"/>
            <w:gridSpan w:val="2"/>
            <w:noWrap/>
          </w:tcPr>
          <w:p w:rsidR="00314A3D" w:rsidRPr="00624571" w:rsidRDefault="00314A3D" w:rsidP="008165A6">
            <w:pPr>
              <w:rPr>
                <w:sz w:val="20"/>
              </w:rPr>
            </w:pPr>
            <w:r w:rsidRPr="00624571">
              <w:rPr>
                <w:sz w:val="20"/>
              </w:rPr>
              <w:t> </w:t>
            </w:r>
          </w:p>
        </w:tc>
        <w:tc>
          <w:tcPr>
            <w:tcW w:w="330" w:type="pct"/>
            <w:noWrap/>
          </w:tcPr>
          <w:p w:rsidR="00314A3D" w:rsidRPr="00624571" w:rsidRDefault="00314A3D" w:rsidP="008165A6">
            <w:pPr>
              <w:rPr>
                <w:sz w:val="20"/>
              </w:rPr>
            </w:pPr>
            <w:r w:rsidRPr="00624571">
              <w:rPr>
                <w:sz w:val="20"/>
              </w:rPr>
              <w:t> </w:t>
            </w:r>
          </w:p>
        </w:tc>
        <w:tc>
          <w:tcPr>
            <w:tcW w:w="298" w:type="pct"/>
            <w:noWrap/>
          </w:tcPr>
          <w:p w:rsidR="00314A3D" w:rsidRPr="00624571" w:rsidRDefault="00314A3D" w:rsidP="008165A6">
            <w:pPr>
              <w:rPr>
                <w:sz w:val="20"/>
              </w:rPr>
            </w:pPr>
            <w:r w:rsidRPr="00624571">
              <w:rPr>
                <w:sz w:val="20"/>
              </w:rPr>
              <w:t> </w:t>
            </w:r>
          </w:p>
        </w:tc>
        <w:tc>
          <w:tcPr>
            <w:tcW w:w="404" w:type="pct"/>
            <w:noWrap/>
          </w:tcPr>
          <w:p w:rsidR="00314A3D" w:rsidRPr="00624571" w:rsidRDefault="00314A3D" w:rsidP="008165A6">
            <w:pPr>
              <w:rPr>
                <w:sz w:val="20"/>
              </w:rPr>
            </w:pPr>
            <w:r w:rsidRPr="00624571">
              <w:rPr>
                <w:sz w:val="20"/>
              </w:rPr>
              <w:t> </w:t>
            </w:r>
          </w:p>
        </w:tc>
        <w:tc>
          <w:tcPr>
            <w:tcW w:w="341" w:type="pct"/>
            <w:noWrap/>
          </w:tcPr>
          <w:p w:rsidR="00314A3D" w:rsidRPr="00624571" w:rsidRDefault="00314A3D" w:rsidP="008165A6">
            <w:pPr>
              <w:rPr>
                <w:sz w:val="20"/>
              </w:rPr>
            </w:pPr>
            <w:r w:rsidRPr="00624571">
              <w:rPr>
                <w:sz w:val="20"/>
              </w:rPr>
              <w:t> </w:t>
            </w:r>
          </w:p>
        </w:tc>
        <w:tc>
          <w:tcPr>
            <w:tcW w:w="360" w:type="pct"/>
            <w:tcBorders>
              <w:right w:val="single" w:sz="18" w:space="0" w:color="auto"/>
            </w:tcBorders>
            <w:noWrap/>
          </w:tcPr>
          <w:p w:rsidR="00314A3D" w:rsidRPr="00624571" w:rsidRDefault="00314A3D" w:rsidP="008165A6">
            <w:pPr>
              <w:rPr>
                <w:sz w:val="20"/>
              </w:rPr>
            </w:pPr>
            <w:r w:rsidRPr="00624571">
              <w:rPr>
                <w:sz w:val="20"/>
              </w:rPr>
              <w:t> </w:t>
            </w:r>
          </w:p>
        </w:tc>
      </w:tr>
      <w:tr w:rsidR="008C6523" w:rsidRPr="00624571" w:rsidTr="0008196B">
        <w:trPr>
          <w:trHeight w:val="344"/>
        </w:trPr>
        <w:tc>
          <w:tcPr>
            <w:tcW w:w="638" w:type="pct"/>
            <w:tcBorders>
              <w:left w:val="single" w:sz="18" w:space="0" w:color="auto"/>
              <w:bottom w:val="single" w:sz="18" w:space="0" w:color="auto"/>
            </w:tcBorders>
            <w:noWrap/>
          </w:tcPr>
          <w:p w:rsidR="00314A3D" w:rsidRPr="008C6523" w:rsidRDefault="00314A3D" w:rsidP="008165A6">
            <w:pPr>
              <w:rPr>
                <w:sz w:val="18"/>
                <w:szCs w:val="18"/>
              </w:rPr>
            </w:pPr>
            <w:r w:rsidRPr="008C6523">
              <w:rPr>
                <w:sz w:val="18"/>
                <w:szCs w:val="18"/>
              </w:rPr>
              <w:t> </w:t>
            </w:r>
          </w:p>
        </w:tc>
        <w:tc>
          <w:tcPr>
            <w:tcW w:w="352" w:type="pct"/>
            <w:tcBorders>
              <w:bottom w:val="single" w:sz="18" w:space="0" w:color="auto"/>
            </w:tcBorders>
            <w:noWrap/>
          </w:tcPr>
          <w:p w:rsidR="00314A3D" w:rsidRPr="008C6523" w:rsidRDefault="00314A3D" w:rsidP="008165A6">
            <w:pPr>
              <w:rPr>
                <w:sz w:val="18"/>
                <w:szCs w:val="18"/>
              </w:rPr>
            </w:pPr>
            <w:r w:rsidRPr="008C6523">
              <w:rPr>
                <w:sz w:val="18"/>
                <w:szCs w:val="18"/>
              </w:rPr>
              <w:t> </w:t>
            </w:r>
          </w:p>
        </w:tc>
        <w:tc>
          <w:tcPr>
            <w:tcW w:w="201" w:type="pct"/>
            <w:tcBorders>
              <w:bottom w:val="single" w:sz="18" w:space="0" w:color="auto"/>
            </w:tcBorders>
            <w:noWrap/>
          </w:tcPr>
          <w:p w:rsidR="00314A3D" w:rsidRPr="008C6523" w:rsidRDefault="00314A3D" w:rsidP="008165A6">
            <w:pPr>
              <w:rPr>
                <w:sz w:val="18"/>
                <w:szCs w:val="18"/>
              </w:rPr>
            </w:pPr>
            <w:r w:rsidRPr="008C6523">
              <w:rPr>
                <w:sz w:val="18"/>
                <w:szCs w:val="18"/>
              </w:rPr>
              <w:t> </w:t>
            </w:r>
          </w:p>
        </w:tc>
        <w:tc>
          <w:tcPr>
            <w:tcW w:w="435" w:type="pct"/>
            <w:gridSpan w:val="2"/>
            <w:tcBorders>
              <w:bottom w:val="single" w:sz="18" w:space="0" w:color="auto"/>
            </w:tcBorders>
            <w:noWrap/>
          </w:tcPr>
          <w:p w:rsidR="00314A3D" w:rsidRPr="008C6523" w:rsidRDefault="00314A3D" w:rsidP="008165A6">
            <w:pPr>
              <w:rPr>
                <w:sz w:val="18"/>
                <w:szCs w:val="18"/>
              </w:rPr>
            </w:pPr>
            <w:r w:rsidRPr="008C6523">
              <w:rPr>
                <w:sz w:val="18"/>
                <w:szCs w:val="18"/>
              </w:rPr>
              <w:t> </w:t>
            </w:r>
          </w:p>
        </w:tc>
        <w:tc>
          <w:tcPr>
            <w:tcW w:w="341" w:type="pct"/>
            <w:tcBorders>
              <w:bottom w:val="single" w:sz="18" w:space="0" w:color="auto"/>
            </w:tcBorders>
            <w:noWrap/>
          </w:tcPr>
          <w:p w:rsidR="00314A3D" w:rsidRPr="008C6523" w:rsidRDefault="00314A3D" w:rsidP="008165A6">
            <w:pPr>
              <w:rPr>
                <w:sz w:val="18"/>
                <w:szCs w:val="18"/>
              </w:rPr>
            </w:pPr>
            <w:r w:rsidRPr="008C6523">
              <w:rPr>
                <w:sz w:val="18"/>
                <w:szCs w:val="18"/>
              </w:rPr>
              <w:t> </w:t>
            </w:r>
          </w:p>
        </w:tc>
        <w:tc>
          <w:tcPr>
            <w:tcW w:w="462" w:type="pct"/>
            <w:tcBorders>
              <w:bottom w:val="single" w:sz="18" w:space="0" w:color="auto"/>
              <w:right w:val="single" w:sz="18" w:space="0" w:color="auto"/>
            </w:tcBorders>
            <w:noWrap/>
          </w:tcPr>
          <w:p w:rsidR="00314A3D" w:rsidRPr="008C6523" w:rsidRDefault="00314A3D" w:rsidP="008165A6">
            <w:pPr>
              <w:rPr>
                <w:sz w:val="18"/>
                <w:szCs w:val="18"/>
              </w:rPr>
            </w:pPr>
            <w:r w:rsidRPr="008C6523">
              <w:rPr>
                <w:sz w:val="18"/>
                <w:szCs w:val="18"/>
              </w:rPr>
              <w:t> </w:t>
            </w:r>
          </w:p>
        </w:tc>
        <w:tc>
          <w:tcPr>
            <w:tcW w:w="403" w:type="pct"/>
            <w:tcBorders>
              <w:left w:val="single" w:sz="18" w:space="0" w:color="auto"/>
              <w:bottom w:val="single" w:sz="18" w:space="0" w:color="auto"/>
            </w:tcBorders>
            <w:noWrap/>
          </w:tcPr>
          <w:p w:rsidR="00314A3D" w:rsidRPr="00624571" w:rsidRDefault="00314A3D" w:rsidP="008165A6">
            <w:pPr>
              <w:rPr>
                <w:sz w:val="20"/>
              </w:rPr>
            </w:pPr>
            <w:r w:rsidRPr="00624571">
              <w:rPr>
                <w:sz w:val="20"/>
              </w:rPr>
              <w:t> </w:t>
            </w:r>
          </w:p>
        </w:tc>
        <w:tc>
          <w:tcPr>
            <w:tcW w:w="435" w:type="pct"/>
            <w:gridSpan w:val="2"/>
            <w:tcBorders>
              <w:bottom w:val="single" w:sz="18" w:space="0" w:color="auto"/>
            </w:tcBorders>
            <w:noWrap/>
          </w:tcPr>
          <w:p w:rsidR="00314A3D" w:rsidRPr="00624571" w:rsidRDefault="00314A3D" w:rsidP="008165A6">
            <w:pPr>
              <w:rPr>
                <w:sz w:val="20"/>
              </w:rPr>
            </w:pPr>
            <w:r w:rsidRPr="00624571">
              <w:rPr>
                <w:sz w:val="20"/>
              </w:rPr>
              <w:t> </w:t>
            </w:r>
          </w:p>
        </w:tc>
        <w:tc>
          <w:tcPr>
            <w:tcW w:w="330" w:type="pct"/>
            <w:tcBorders>
              <w:bottom w:val="single" w:sz="18" w:space="0" w:color="auto"/>
            </w:tcBorders>
            <w:noWrap/>
          </w:tcPr>
          <w:p w:rsidR="00314A3D" w:rsidRPr="00624571" w:rsidRDefault="00314A3D" w:rsidP="008165A6">
            <w:pPr>
              <w:rPr>
                <w:sz w:val="20"/>
              </w:rPr>
            </w:pPr>
            <w:r w:rsidRPr="00624571">
              <w:rPr>
                <w:sz w:val="20"/>
              </w:rPr>
              <w:t> </w:t>
            </w:r>
          </w:p>
        </w:tc>
        <w:tc>
          <w:tcPr>
            <w:tcW w:w="298" w:type="pct"/>
            <w:tcBorders>
              <w:bottom w:val="single" w:sz="18" w:space="0" w:color="auto"/>
            </w:tcBorders>
            <w:noWrap/>
          </w:tcPr>
          <w:p w:rsidR="00314A3D" w:rsidRPr="00624571" w:rsidRDefault="00314A3D" w:rsidP="008165A6">
            <w:pPr>
              <w:rPr>
                <w:sz w:val="20"/>
              </w:rPr>
            </w:pPr>
            <w:r w:rsidRPr="00624571">
              <w:rPr>
                <w:sz w:val="20"/>
              </w:rPr>
              <w:t> </w:t>
            </w:r>
          </w:p>
        </w:tc>
        <w:tc>
          <w:tcPr>
            <w:tcW w:w="404" w:type="pct"/>
            <w:tcBorders>
              <w:bottom w:val="single" w:sz="18" w:space="0" w:color="auto"/>
            </w:tcBorders>
            <w:noWrap/>
          </w:tcPr>
          <w:p w:rsidR="00314A3D" w:rsidRPr="00624571" w:rsidRDefault="00314A3D" w:rsidP="008165A6">
            <w:pPr>
              <w:rPr>
                <w:sz w:val="20"/>
              </w:rPr>
            </w:pPr>
            <w:r w:rsidRPr="00624571">
              <w:rPr>
                <w:sz w:val="20"/>
              </w:rPr>
              <w:t> </w:t>
            </w:r>
          </w:p>
        </w:tc>
        <w:tc>
          <w:tcPr>
            <w:tcW w:w="341" w:type="pct"/>
            <w:tcBorders>
              <w:bottom w:val="single" w:sz="18" w:space="0" w:color="auto"/>
            </w:tcBorders>
            <w:noWrap/>
          </w:tcPr>
          <w:p w:rsidR="00314A3D" w:rsidRPr="00624571" w:rsidRDefault="00314A3D" w:rsidP="008165A6">
            <w:pPr>
              <w:rPr>
                <w:sz w:val="20"/>
              </w:rPr>
            </w:pPr>
            <w:r w:rsidRPr="00624571">
              <w:rPr>
                <w:sz w:val="20"/>
              </w:rPr>
              <w:t> </w:t>
            </w:r>
          </w:p>
        </w:tc>
        <w:tc>
          <w:tcPr>
            <w:tcW w:w="360" w:type="pct"/>
            <w:tcBorders>
              <w:bottom w:val="single" w:sz="18" w:space="0" w:color="auto"/>
              <w:right w:val="single" w:sz="18" w:space="0" w:color="auto"/>
            </w:tcBorders>
            <w:noWrap/>
          </w:tcPr>
          <w:p w:rsidR="00314A3D" w:rsidRPr="00624571" w:rsidRDefault="00314A3D" w:rsidP="008165A6">
            <w:pPr>
              <w:rPr>
                <w:sz w:val="20"/>
              </w:rPr>
            </w:pPr>
            <w:r w:rsidRPr="00624571">
              <w:rPr>
                <w:sz w:val="20"/>
              </w:rPr>
              <w:t> </w:t>
            </w:r>
          </w:p>
        </w:tc>
      </w:tr>
    </w:tbl>
    <w:p w:rsidR="005D741D" w:rsidRDefault="005D741D" w:rsidP="005D741D">
      <w:pPr>
        <w:rPr>
          <w:bCs/>
          <w:color w:val="000000"/>
          <w:sz w:val="20"/>
        </w:rPr>
      </w:pPr>
      <w:r w:rsidRPr="00624571">
        <w:rPr>
          <w:bCs/>
          <w:color w:val="000000"/>
          <w:sz w:val="20"/>
        </w:rPr>
        <w:t>(*) Gerçek kişilere yapılan L.P.G. teslimleri için doldurulacaktır.</w:t>
      </w:r>
    </w:p>
    <w:p w:rsidR="0008196B" w:rsidRDefault="0008196B" w:rsidP="00314A3D">
      <w:pPr>
        <w:ind w:left="11328" w:firstLine="708"/>
        <w:rPr>
          <w:sz w:val="20"/>
        </w:rPr>
        <w:sectPr w:rsidR="0008196B" w:rsidSect="0008196B">
          <w:headerReference w:type="first" r:id="rId12"/>
          <w:footerReference w:type="first" r:id="rId13"/>
          <w:pgSz w:w="16838" w:h="11906" w:orient="landscape"/>
          <w:pgMar w:top="1418" w:right="0" w:bottom="991" w:left="568" w:header="567" w:footer="1531" w:gutter="0"/>
          <w:cols w:space="708"/>
          <w:titlePg/>
          <w:docGrid w:linePitch="360"/>
        </w:sectPr>
      </w:pPr>
    </w:p>
    <w:p w:rsidR="0008196B" w:rsidRDefault="0008196B" w:rsidP="00314A3D">
      <w:pPr>
        <w:ind w:left="11328" w:firstLine="708"/>
        <w:rPr>
          <w:sz w:val="20"/>
        </w:rPr>
      </w:pPr>
    </w:p>
    <w:p w:rsidR="0008196B" w:rsidRDefault="0008196B" w:rsidP="0008196B">
      <w:pPr>
        <w:rPr>
          <w:sz w:val="20"/>
        </w:rPr>
      </w:pPr>
    </w:p>
    <w:p w:rsidR="00314A3D" w:rsidRPr="004022D3" w:rsidRDefault="00314A3D" w:rsidP="004022D3">
      <w:pPr>
        <w:rPr>
          <w:sz w:val="20"/>
        </w:rPr>
      </w:pPr>
      <w:r w:rsidRPr="00624571">
        <w:rPr>
          <w:b/>
          <w:bCs/>
          <w:sz w:val="20"/>
        </w:rPr>
        <w:t xml:space="preserve">EK: 4  </w:t>
      </w:r>
    </w:p>
    <w:p w:rsidR="00314A3D" w:rsidRPr="00624571" w:rsidRDefault="00314A3D" w:rsidP="00314A3D">
      <w:pPr>
        <w:spacing w:before="60"/>
        <w:jc w:val="both"/>
        <w:rPr>
          <w:b/>
          <w:bCs/>
          <w:sz w:val="20"/>
        </w:rPr>
      </w:pPr>
    </w:p>
    <w:p w:rsidR="00314A3D" w:rsidRPr="00624571" w:rsidRDefault="00314A3D" w:rsidP="00314A3D">
      <w:pPr>
        <w:spacing w:before="60"/>
        <w:jc w:val="center"/>
        <w:rPr>
          <w:b/>
          <w:sz w:val="20"/>
        </w:rPr>
      </w:pPr>
      <w:r w:rsidRPr="00624571">
        <w:rPr>
          <w:b/>
          <w:sz w:val="20"/>
        </w:rPr>
        <w:t>KESİN VE SÜRESİZ TEMİNAT MEKTUBU ÖRNEĞİ</w:t>
      </w:r>
    </w:p>
    <w:p w:rsidR="00314A3D" w:rsidRPr="00624571" w:rsidRDefault="00314A3D" w:rsidP="00314A3D">
      <w:pPr>
        <w:spacing w:before="60"/>
        <w:jc w:val="center"/>
        <w:rPr>
          <w:sz w:val="20"/>
        </w:rPr>
      </w:pPr>
    </w:p>
    <w:p w:rsidR="00314A3D" w:rsidRPr="00624571" w:rsidRDefault="00314A3D" w:rsidP="00314A3D">
      <w:pPr>
        <w:spacing w:before="60"/>
        <w:jc w:val="right"/>
        <w:rPr>
          <w:sz w:val="20"/>
        </w:rPr>
      </w:pPr>
      <w:r w:rsidRPr="00624571">
        <w:rPr>
          <w:sz w:val="20"/>
        </w:rPr>
        <w:t>KESİN VE SÜRESİZ</w:t>
      </w:r>
    </w:p>
    <w:p w:rsidR="00314A3D" w:rsidRPr="00624571" w:rsidRDefault="00314A3D" w:rsidP="00314A3D">
      <w:pPr>
        <w:spacing w:before="60"/>
        <w:jc w:val="right"/>
        <w:rPr>
          <w:sz w:val="20"/>
        </w:rPr>
      </w:pPr>
      <w:r w:rsidRPr="00624571">
        <w:rPr>
          <w:sz w:val="20"/>
        </w:rPr>
        <w:t>.../..../20</w:t>
      </w:r>
      <w:proofErr w:type="gramStart"/>
      <w:r w:rsidRPr="00624571">
        <w:rPr>
          <w:sz w:val="20"/>
        </w:rPr>
        <w:t>..</w:t>
      </w:r>
      <w:proofErr w:type="gramEnd"/>
    </w:p>
    <w:p w:rsidR="00314A3D" w:rsidRPr="00624571" w:rsidRDefault="00314A3D" w:rsidP="00314A3D">
      <w:pPr>
        <w:spacing w:before="60"/>
        <w:jc w:val="right"/>
        <w:rPr>
          <w:sz w:val="20"/>
        </w:rPr>
      </w:pPr>
      <w:r w:rsidRPr="00624571">
        <w:rPr>
          <w:sz w:val="20"/>
        </w:rPr>
        <w:t xml:space="preserve"> </w:t>
      </w:r>
    </w:p>
    <w:p w:rsidR="00314A3D" w:rsidRPr="00624571" w:rsidRDefault="00314A3D" w:rsidP="00314A3D">
      <w:pPr>
        <w:spacing w:before="60"/>
        <w:jc w:val="both"/>
        <w:rPr>
          <w:color w:val="000000"/>
          <w:sz w:val="20"/>
        </w:rPr>
      </w:pPr>
    </w:p>
    <w:p w:rsidR="00314A3D" w:rsidRPr="00624571" w:rsidRDefault="00314A3D" w:rsidP="00314A3D">
      <w:pPr>
        <w:spacing w:before="60"/>
        <w:jc w:val="center"/>
        <w:rPr>
          <w:color w:val="000000"/>
          <w:sz w:val="20"/>
        </w:rPr>
      </w:pPr>
      <w:r w:rsidRPr="00624571">
        <w:rPr>
          <w:color w:val="000000"/>
          <w:sz w:val="20"/>
        </w:rPr>
        <w:t>.................. VERGİ DAİRESİ MÜDÜRLÜĞÜNE</w:t>
      </w:r>
    </w:p>
    <w:p w:rsidR="00314A3D" w:rsidRPr="00624571" w:rsidRDefault="00314A3D" w:rsidP="00314A3D">
      <w:pPr>
        <w:spacing w:before="60"/>
        <w:jc w:val="both"/>
        <w:rPr>
          <w:color w:val="000000"/>
          <w:sz w:val="20"/>
        </w:rPr>
      </w:pPr>
    </w:p>
    <w:p w:rsidR="00314A3D" w:rsidRPr="00624571" w:rsidRDefault="00314A3D" w:rsidP="00314A3D">
      <w:pPr>
        <w:ind w:firstLine="709"/>
        <w:jc w:val="both"/>
        <w:rPr>
          <w:sz w:val="20"/>
        </w:rPr>
      </w:pPr>
    </w:p>
    <w:p w:rsidR="00314A3D" w:rsidRPr="00624571" w:rsidRDefault="00314A3D" w:rsidP="00314A3D">
      <w:pPr>
        <w:ind w:firstLine="709"/>
        <w:jc w:val="both"/>
        <w:rPr>
          <w:sz w:val="20"/>
        </w:rPr>
      </w:pPr>
      <w:r w:rsidRPr="00624571">
        <w:rPr>
          <w:sz w:val="20"/>
        </w:rPr>
        <w:t xml:space="preserve">4760 sayılı Özel Tüketim Vergisi Kanunu hükümleri gereğince ÖTV iadesinden yararlanacak olan; ............................................................. adresinde yerleşik  ...........................................  firmasına </w:t>
      </w:r>
      <w:proofErr w:type="gramStart"/>
      <w:r w:rsidRPr="00624571">
        <w:rPr>
          <w:sz w:val="20"/>
        </w:rPr>
        <w:t>ödenecek, …….</w:t>
      </w:r>
      <w:proofErr w:type="gramEnd"/>
      <w:r w:rsidRPr="00624571">
        <w:rPr>
          <w:sz w:val="20"/>
        </w:rPr>
        <w:t xml:space="preserve"> / 20.. </w:t>
      </w:r>
      <w:proofErr w:type="gramStart"/>
      <w:r w:rsidRPr="00624571">
        <w:rPr>
          <w:sz w:val="20"/>
        </w:rPr>
        <w:t>dönemine</w:t>
      </w:r>
      <w:proofErr w:type="gramEnd"/>
      <w:r w:rsidRPr="00624571">
        <w:rPr>
          <w:sz w:val="20"/>
        </w:rPr>
        <w:t xml:space="preserve"> ait ÖTV iadesine teminat oluşturan, bu teminat mektubu ile ............. TL (............. Türk Lirası) ödeme konusunda, Bankamız borçlu ile birlikte müteselsil kefil ve müşterek müteselsil borçlu sıfatıyla kefil ve sorumlu olduğunu, tarafınızdan Bankamıza yazılı olarak bildirildiği takdirde, Bankamızca veya mükellefçe hiçbir yasal yola gidilmeksizin protesto çekilmesine, hüküm alınmasına gerek kalmaksızın, yukarıda belirtilen meblağı ilk yazılı isteminiz üzerine, hemen ve geciktirilmeksizin, kayıtsız ve şartsız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 </w:t>
      </w:r>
    </w:p>
    <w:p w:rsidR="00314A3D" w:rsidRPr="00624571" w:rsidRDefault="00314A3D" w:rsidP="00314A3D">
      <w:pPr>
        <w:spacing w:before="60"/>
        <w:jc w:val="both"/>
        <w:rPr>
          <w:color w:val="000000"/>
          <w:sz w:val="20"/>
        </w:rPr>
      </w:pPr>
    </w:p>
    <w:p w:rsidR="00314A3D" w:rsidRPr="00624571" w:rsidRDefault="00314A3D" w:rsidP="00314A3D">
      <w:pPr>
        <w:spacing w:before="60"/>
        <w:jc w:val="right"/>
        <w:rPr>
          <w:color w:val="000000"/>
          <w:sz w:val="20"/>
        </w:rPr>
      </w:pPr>
      <w:r w:rsidRPr="00624571">
        <w:rPr>
          <w:color w:val="000000"/>
          <w:sz w:val="20"/>
        </w:rPr>
        <w:t>Tarih ve İki Yetkilinin İmzası</w:t>
      </w:r>
    </w:p>
    <w:p w:rsidR="00314A3D" w:rsidRPr="00624571" w:rsidRDefault="00314A3D" w:rsidP="00314A3D">
      <w:pPr>
        <w:jc w:val="both"/>
        <w:rPr>
          <w:color w:val="000000"/>
          <w:sz w:val="20"/>
        </w:rPr>
      </w:pPr>
    </w:p>
    <w:p w:rsidR="00314A3D" w:rsidRPr="00624571" w:rsidRDefault="00314A3D" w:rsidP="00314A3D">
      <w:pPr>
        <w:jc w:val="both"/>
        <w:rPr>
          <w:color w:val="000000"/>
          <w:sz w:val="20"/>
        </w:rPr>
      </w:pPr>
    </w:p>
    <w:p w:rsidR="00314A3D" w:rsidRPr="00624571" w:rsidRDefault="00314A3D" w:rsidP="00314A3D">
      <w:pPr>
        <w:spacing w:before="60"/>
        <w:jc w:val="right"/>
        <w:rPr>
          <w:color w:val="000000"/>
          <w:sz w:val="20"/>
        </w:rPr>
      </w:pPr>
      <w:r w:rsidRPr="00624571">
        <w:rPr>
          <w:color w:val="000000"/>
          <w:sz w:val="20"/>
        </w:rPr>
        <w:t>…………… Bankası A.Ş.</w:t>
      </w:r>
    </w:p>
    <w:p w:rsidR="00314A3D" w:rsidRPr="00624571" w:rsidRDefault="00314A3D" w:rsidP="00314A3D">
      <w:pPr>
        <w:spacing w:before="60"/>
        <w:ind w:left="6372" w:firstLine="708"/>
        <w:jc w:val="center"/>
        <w:rPr>
          <w:color w:val="000000"/>
          <w:sz w:val="20"/>
        </w:rPr>
      </w:pPr>
      <w:r w:rsidRPr="00624571">
        <w:rPr>
          <w:color w:val="000000"/>
          <w:sz w:val="20"/>
        </w:rPr>
        <w:t>............. Şubesi</w:t>
      </w:r>
    </w:p>
    <w:p w:rsidR="00314A3D" w:rsidRPr="00624571" w:rsidRDefault="00314A3D" w:rsidP="00314A3D">
      <w:pPr>
        <w:spacing w:before="60"/>
        <w:jc w:val="both"/>
        <w:rPr>
          <w:color w:val="000000"/>
          <w:sz w:val="20"/>
        </w:rPr>
      </w:pPr>
    </w:p>
    <w:p w:rsidR="00314A3D" w:rsidRPr="00624571" w:rsidRDefault="00314A3D" w:rsidP="00314A3D">
      <w:pPr>
        <w:spacing w:before="60"/>
        <w:jc w:val="both"/>
        <w:rPr>
          <w:color w:val="000000"/>
          <w:sz w:val="20"/>
        </w:rPr>
      </w:pPr>
    </w:p>
    <w:p w:rsidR="00314A3D" w:rsidRPr="00624571" w:rsidRDefault="00314A3D" w:rsidP="00314A3D">
      <w:pPr>
        <w:spacing w:before="60"/>
        <w:jc w:val="both"/>
        <w:rPr>
          <w:color w:val="000000"/>
          <w:sz w:val="20"/>
        </w:rPr>
      </w:pPr>
    </w:p>
    <w:p w:rsidR="00314A3D" w:rsidRPr="00624571" w:rsidRDefault="00314A3D" w:rsidP="00314A3D">
      <w:pPr>
        <w:spacing w:before="60"/>
        <w:jc w:val="both"/>
        <w:rPr>
          <w:color w:val="000000"/>
          <w:sz w:val="20"/>
        </w:rPr>
      </w:pPr>
      <w:r w:rsidRPr="00624571">
        <w:rPr>
          <w:b/>
          <w:bCs/>
          <w:color w:val="000000"/>
          <w:sz w:val="20"/>
        </w:rPr>
        <w:t xml:space="preserve">NOT: </w:t>
      </w:r>
      <w:r w:rsidRPr="00624571">
        <w:rPr>
          <w:color w:val="000000"/>
          <w:sz w:val="20"/>
        </w:rPr>
        <w:t xml:space="preserve">Banka </w:t>
      </w:r>
      <w:proofErr w:type="gramStart"/>
      <w:r w:rsidRPr="00624571">
        <w:rPr>
          <w:color w:val="000000"/>
          <w:sz w:val="20"/>
        </w:rPr>
        <w:t>adına</w:t>
      </w:r>
      <w:proofErr w:type="gramEnd"/>
      <w:r w:rsidRPr="00624571">
        <w:rPr>
          <w:color w:val="000000"/>
          <w:sz w:val="20"/>
        </w:rPr>
        <w:t xml:space="preserve"> imza koyan yetkililerin adı, soyadı ve unvanları banka kaşesi altında okunaklı olarak yer alacaktır.</w:t>
      </w:r>
    </w:p>
    <w:p w:rsidR="00314A3D" w:rsidRPr="00624571" w:rsidRDefault="00314A3D" w:rsidP="00314A3D">
      <w:pPr>
        <w:spacing w:before="60"/>
        <w:jc w:val="both"/>
        <w:rPr>
          <w:color w:val="000000"/>
          <w:sz w:val="20"/>
        </w:rPr>
      </w:pPr>
    </w:p>
    <w:p w:rsidR="00314A3D" w:rsidRPr="00624571" w:rsidRDefault="00314A3D" w:rsidP="00314A3D">
      <w:pPr>
        <w:ind w:left="11328" w:firstLine="708"/>
        <w:rPr>
          <w:sz w:val="20"/>
        </w:rPr>
      </w:pPr>
      <w:r w:rsidRPr="00624571">
        <w:rPr>
          <w:sz w:val="20"/>
        </w:rPr>
        <w:t>ılabilir.)</w:t>
      </w:r>
    </w:p>
    <w:p w:rsidR="00314A3D" w:rsidRDefault="00314A3D" w:rsidP="00314A3D">
      <w:pPr>
        <w:spacing w:before="100" w:beforeAutospacing="1" w:after="100" w:afterAutospacing="1"/>
        <w:ind w:left="108"/>
        <w:rPr>
          <w:b/>
          <w:bCs/>
          <w:color w:val="000080"/>
          <w:sz w:val="20"/>
        </w:rPr>
      </w:pPr>
    </w:p>
    <w:p w:rsidR="00314A3D" w:rsidRDefault="00314A3D" w:rsidP="00314A3D">
      <w:pPr>
        <w:spacing w:before="100" w:beforeAutospacing="1" w:after="100" w:afterAutospacing="1"/>
        <w:ind w:left="108"/>
        <w:rPr>
          <w:b/>
          <w:bCs/>
          <w:color w:val="000080"/>
          <w:sz w:val="20"/>
        </w:rPr>
      </w:pPr>
    </w:p>
    <w:p w:rsidR="00325CDF" w:rsidRPr="00E43854" w:rsidRDefault="00325CDF" w:rsidP="00E43854">
      <w:pPr>
        <w:spacing w:before="60" w:after="60"/>
        <w:jc w:val="both"/>
        <w:rPr>
          <w:rFonts w:ascii="Tahoma" w:hAnsi="Tahoma" w:cs="Tahoma"/>
          <w:sz w:val="20"/>
          <w:szCs w:val="20"/>
        </w:rPr>
      </w:pPr>
    </w:p>
    <w:sectPr w:rsidR="00325CDF" w:rsidRPr="00E43854" w:rsidSect="009A1D8D">
      <w:pgSz w:w="11906" w:h="16838"/>
      <w:pgMar w:top="0" w:right="991" w:bottom="568"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49" w:rsidRDefault="00916849" w:rsidP="00053CFC">
      <w:r>
        <w:separator/>
      </w:r>
    </w:p>
  </w:endnote>
  <w:endnote w:type="continuationSeparator" w:id="0">
    <w:p w:rsidR="00916849" w:rsidRDefault="00916849" w:rsidP="0005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A3" w:rsidRPr="0008196B" w:rsidRDefault="006560A3" w:rsidP="000819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A3" w:rsidRDefault="006560A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A3" w:rsidRDefault="006560A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49" w:rsidRDefault="00916849" w:rsidP="00053CFC">
      <w:r>
        <w:separator/>
      </w:r>
    </w:p>
  </w:footnote>
  <w:footnote w:type="continuationSeparator" w:id="0">
    <w:p w:rsidR="00916849" w:rsidRDefault="00916849"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41D" w:rsidRDefault="005D741D">
    <w:pPr>
      <w:pStyle w:val="stbilgi"/>
    </w:pPr>
    <w:r>
      <w:rPr>
        <w:noProof/>
        <w:lang w:val="tr-TR" w:eastAsia="tr-TR"/>
      </w:rPr>
      <w:drawing>
        <wp:anchor distT="0" distB="0" distL="114300" distR="114300" simplePos="0" relativeHeight="251659776" behindDoc="0" locked="0" layoutInCell="1" allowOverlap="1">
          <wp:simplePos x="0" y="0"/>
          <wp:positionH relativeFrom="column">
            <wp:posOffset>7429500</wp:posOffset>
          </wp:positionH>
          <wp:positionV relativeFrom="paragraph">
            <wp:posOffset>-66675</wp:posOffset>
          </wp:positionV>
          <wp:extent cx="2134235" cy="406400"/>
          <wp:effectExtent l="0" t="0" r="0" b="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5D741D" w:rsidRDefault="005D741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3C"/>
      </v:shape>
    </w:pict>
  </w:numPicBullet>
  <w:numPicBullet w:numPicBulletId="1">
    <w:pict>
      <v:shape id="_x0000_i1030" type="#_x0000_t75" alt="http://www.gib.gov.tr/fileadmin/template/main/images/1p.gif" style="width:.85pt;height:.85pt;visibility:visible" o:bullet="t">
        <v:imagedata r:id="rId2" o:title="1p"/>
      </v:shape>
    </w:pict>
  </w:numPicBullet>
  <w:numPicBullet w:numPicBulletId="2">
    <w:pict>
      <v:shape id="_x0000_i1031" type="#_x0000_t75" style="width:.85pt;height:.85pt" o:bullet="t">
        <v:imagedata r:id="rId3" o:title="clip_image001"/>
      </v:shape>
    </w:pict>
  </w:numPicBullet>
  <w:abstractNum w:abstractNumId="0">
    <w:nsid w:val="0B0605B8"/>
    <w:multiLevelType w:val="multilevel"/>
    <w:tmpl w:val="47725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7B16DC"/>
    <w:multiLevelType w:val="hybridMultilevel"/>
    <w:tmpl w:val="3DE6113A"/>
    <w:lvl w:ilvl="0" w:tplc="46742E2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F8D4C69"/>
    <w:multiLevelType w:val="hybridMultilevel"/>
    <w:tmpl w:val="DA8CD0B2"/>
    <w:lvl w:ilvl="0" w:tplc="E73A49A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A22D9"/>
    <w:multiLevelType w:val="hybridMultilevel"/>
    <w:tmpl w:val="A7A019E4"/>
    <w:lvl w:ilvl="0" w:tplc="9AEE3B0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9C6F89"/>
    <w:multiLevelType w:val="hybridMultilevel"/>
    <w:tmpl w:val="25CED924"/>
    <w:lvl w:ilvl="0" w:tplc="63A4F9F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FC0518C"/>
    <w:multiLevelType w:val="hybridMultilevel"/>
    <w:tmpl w:val="6D12C75E"/>
    <w:lvl w:ilvl="0" w:tplc="16FE7C74">
      <w:start w:val="1"/>
      <w:numFmt w:val="bullet"/>
      <w:lvlText w:val=""/>
      <w:lvlPicBulletId w:val="1"/>
      <w:lvlJc w:val="left"/>
      <w:pPr>
        <w:tabs>
          <w:tab w:val="num" w:pos="720"/>
        </w:tabs>
        <w:ind w:left="720" w:hanging="360"/>
      </w:pPr>
      <w:rPr>
        <w:rFonts w:ascii="Symbol" w:hAnsi="Symbol" w:hint="default"/>
      </w:rPr>
    </w:lvl>
    <w:lvl w:ilvl="1" w:tplc="DC008E96" w:tentative="1">
      <w:start w:val="1"/>
      <w:numFmt w:val="bullet"/>
      <w:lvlText w:val=""/>
      <w:lvlJc w:val="left"/>
      <w:pPr>
        <w:tabs>
          <w:tab w:val="num" w:pos="1440"/>
        </w:tabs>
        <w:ind w:left="1440" w:hanging="360"/>
      </w:pPr>
      <w:rPr>
        <w:rFonts w:ascii="Symbol" w:hAnsi="Symbol" w:hint="default"/>
      </w:rPr>
    </w:lvl>
    <w:lvl w:ilvl="2" w:tplc="7610E356" w:tentative="1">
      <w:start w:val="1"/>
      <w:numFmt w:val="bullet"/>
      <w:lvlText w:val=""/>
      <w:lvlJc w:val="left"/>
      <w:pPr>
        <w:tabs>
          <w:tab w:val="num" w:pos="2160"/>
        </w:tabs>
        <w:ind w:left="2160" w:hanging="360"/>
      </w:pPr>
      <w:rPr>
        <w:rFonts w:ascii="Symbol" w:hAnsi="Symbol" w:hint="default"/>
      </w:rPr>
    </w:lvl>
    <w:lvl w:ilvl="3" w:tplc="0A9C57F6" w:tentative="1">
      <w:start w:val="1"/>
      <w:numFmt w:val="bullet"/>
      <w:lvlText w:val=""/>
      <w:lvlJc w:val="left"/>
      <w:pPr>
        <w:tabs>
          <w:tab w:val="num" w:pos="2880"/>
        </w:tabs>
        <w:ind w:left="2880" w:hanging="360"/>
      </w:pPr>
      <w:rPr>
        <w:rFonts w:ascii="Symbol" w:hAnsi="Symbol" w:hint="default"/>
      </w:rPr>
    </w:lvl>
    <w:lvl w:ilvl="4" w:tplc="14DE02B8" w:tentative="1">
      <w:start w:val="1"/>
      <w:numFmt w:val="bullet"/>
      <w:lvlText w:val=""/>
      <w:lvlJc w:val="left"/>
      <w:pPr>
        <w:tabs>
          <w:tab w:val="num" w:pos="3600"/>
        </w:tabs>
        <w:ind w:left="3600" w:hanging="360"/>
      </w:pPr>
      <w:rPr>
        <w:rFonts w:ascii="Symbol" w:hAnsi="Symbol" w:hint="default"/>
      </w:rPr>
    </w:lvl>
    <w:lvl w:ilvl="5" w:tplc="C33ECB3E" w:tentative="1">
      <w:start w:val="1"/>
      <w:numFmt w:val="bullet"/>
      <w:lvlText w:val=""/>
      <w:lvlJc w:val="left"/>
      <w:pPr>
        <w:tabs>
          <w:tab w:val="num" w:pos="4320"/>
        </w:tabs>
        <w:ind w:left="4320" w:hanging="360"/>
      </w:pPr>
      <w:rPr>
        <w:rFonts w:ascii="Symbol" w:hAnsi="Symbol" w:hint="default"/>
      </w:rPr>
    </w:lvl>
    <w:lvl w:ilvl="6" w:tplc="9B56A8C4" w:tentative="1">
      <w:start w:val="1"/>
      <w:numFmt w:val="bullet"/>
      <w:lvlText w:val=""/>
      <w:lvlJc w:val="left"/>
      <w:pPr>
        <w:tabs>
          <w:tab w:val="num" w:pos="5040"/>
        </w:tabs>
        <w:ind w:left="5040" w:hanging="360"/>
      </w:pPr>
      <w:rPr>
        <w:rFonts w:ascii="Symbol" w:hAnsi="Symbol" w:hint="default"/>
      </w:rPr>
    </w:lvl>
    <w:lvl w:ilvl="7" w:tplc="0CE40388" w:tentative="1">
      <w:start w:val="1"/>
      <w:numFmt w:val="bullet"/>
      <w:lvlText w:val=""/>
      <w:lvlJc w:val="left"/>
      <w:pPr>
        <w:tabs>
          <w:tab w:val="num" w:pos="5760"/>
        </w:tabs>
        <w:ind w:left="5760" w:hanging="360"/>
      </w:pPr>
      <w:rPr>
        <w:rFonts w:ascii="Symbol" w:hAnsi="Symbol" w:hint="default"/>
      </w:rPr>
    </w:lvl>
    <w:lvl w:ilvl="8" w:tplc="B8BE089C" w:tentative="1">
      <w:start w:val="1"/>
      <w:numFmt w:val="bullet"/>
      <w:lvlText w:val=""/>
      <w:lvlJc w:val="left"/>
      <w:pPr>
        <w:tabs>
          <w:tab w:val="num" w:pos="6480"/>
        </w:tabs>
        <w:ind w:left="6480" w:hanging="360"/>
      </w:pPr>
      <w:rPr>
        <w:rFonts w:ascii="Symbol" w:hAnsi="Symbol" w:hint="default"/>
      </w:rPr>
    </w:lvl>
  </w:abstractNum>
  <w:abstractNum w:abstractNumId="8">
    <w:nsid w:val="200053EE"/>
    <w:multiLevelType w:val="hybridMultilevel"/>
    <w:tmpl w:val="2C146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FB3848"/>
    <w:multiLevelType w:val="hybridMultilevel"/>
    <w:tmpl w:val="4B103748"/>
    <w:lvl w:ilvl="0" w:tplc="A71C588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6">
    <w:nsid w:val="34A313F1"/>
    <w:multiLevelType w:val="hybridMultilevel"/>
    <w:tmpl w:val="B44078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9524475"/>
    <w:multiLevelType w:val="hybridMultilevel"/>
    <w:tmpl w:val="4F864B0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7D601C"/>
    <w:multiLevelType w:val="hybridMultilevel"/>
    <w:tmpl w:val="AF166D3A"/>
    <w:lvl w:ilvl="0" w:tplc="2AC2DF3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E281C"/>
    <w:multiLevelType w:val="hybridMultilevel"/>
    <w:tmpl w:val="19F2D2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5">
    <w:nsid w:val="526408F7"/>
    <w:multiLevelType w:val="hybridMultilevel"/>
    <w:tmpl w:val="3AAC2C7A"/>
    <w:lvl w:ilvl="0" w:tplc="9D9ABF1C">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6">
    <w:nsid w:val="5FD70625"/>
    <w:multiLevelType w:val="hybridMultilevel"/>
    <w:tmpl w:val="0572471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63C4A"/>
    <w:multiLevelType w:val="hybridMultilevel"/>
    <w:tmpl w:val="C00867A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2BE5AAF"/>
    <w:multiLevelType w:val="multilevel"/>
    <w:tmpl w:val="82F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677E1"/>
    <w:multiLevelType w:val="hybridMultilevel"/>
    <w:tmpl w:val="E3FE29F8"/>
    <w:lvl w:ilvl="0" w:tplc="7E0899E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1">
    <w:nsid w:val="754C46BD"/>
    <w:multiLevelType w:val="hybridMultilevel"/>
    <w:tmpl w:val="3FC49D46"/>
    <w:lvl w:ilvl="0" w:tplc="6D4EBDB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252B32"/>
    <w:multiLevelType w:val="hybridMultilevel"/>
    <w:tmpl w:val="16BC9960"/>
    <w:lvl w:ilvl="0" w:tplc="4ADC46C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3">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18"/>
  </w:num>
  <w:num w:numId="4">
    <w:abstractNumId w:val="19"/>
  </w:num>
  <w:num w:numId="5">
    <w:abstractNumId w:val="24"/>
  </w:num>
  <w:num w:numId="6">
    <w:abstractNumId w:val="21"/>
  </w:num>
  <w:num w:numId="7">
    <w:abstractNumId w:val="15"/>
  </w:num>
  <w:num w:numId="8">
    <w:abstractNumId w:val="15"/>
  </w:num>
  <w:num w:numId="9">
    <w:abstractNumId w:val="5"/>
  </w:num>
  <w:num w:numId="10">
    <w:abstractNumId w:val="11"/>
  </w:num>
  <w:num w:numId="11">
    <w:abstractNumId w:val="13"/>
  </w:num>
  <w:num w:numId="12">
    <w:abstractNumId w:val="12"/>
  </w:num>
  <w:num w:numId="13">
    <w:abstractNumId w:val="23"/>
  </w:num>
  <w:num w:numId="14">
    <w:abstractNumId w:val="14"/>
  </w:num>
  <w:num w:numId="15">
    <w:abstractNumId w:val="27"/>
  </w:num>
  <w:num w:numId="16">
    <w:abstractNumId w:val="22"/>
  </w:num>
  <w:num w:numId="17">
    <w:abstractNumId w:val="26"/>
  </w:num>
  <w:num w:numId="18">
    <w:abstractNumId w:val="8"/>
  </w:num>
  <w:num w:numId="19">
    <w:abstractNumId w:val="16"/>
  </w:num>
  <w:num w:numId="20">
    <w:abstractNumId w:val="28"/>
  </w:num>
  <w:num w:numId="21">
    <w:abstractNumId w:val="17"/>
  </w:num>
  <w:num w:numId="22">
    <w:abstractNumId w:val="6"/>
  </w:num>
  <w:num w:numId="23">
    <w:abstractNumId w:val="32"/>
  </w:num>
  <w:num w:numId="24">
    <w:abstractNumId w:val="1"/>
  </w:num>
  <w:num w:numId="25">
    <w:abstractNumId w:val="2"/>
  </w:num>
  <w:num w:numId="26">
    <w:abstractNumId w:val="10"/>
  </w:num>
  <w:num w:numId="27">
    <w:abstractNumId w:val="4"/>
  </w:num>
  <w:num w:numId="28">
    <w:abstractNumId w:val="30"/>
  </w:num>
  <w:num w:numId="29">
    <w:abstractNumId w:val="25"/>
  </w:num>
  <w:num w:numId="30">
    <w:abstractNumId w:val="20"/>
  </w:num>
  <w:num w:numId="31">
    <w:abstractNumId w:val="7"/>
  </w:num>
  <w:num w:numId="32">
    <w:abstractNumId w:val="31"/>
  </w:num>
  <w:num w:numId="33">
    <w:abstractNumId w:val="33"/>
  </w:num>
  <w:num w:numId="34">
    <w:abstractNumId w:val="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17A"/>
    <w:rsid w:val="000278CE"/>
    <w:rsid w:val="00027ACF"/>
    <w:rsid w:val="000307A9"/>
    <w:rsid w:val="00030E8E"/>
    <w:rsid w:val="000324D1"/>
    <w:rsid w:val="00032A6B"/>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86C"/>
    <w:rsid w:val="00063985"/>
    <w:rsid w:val="000671AE"/>
    <w:rsid w:val="00067AA2"/>
    <w:rsid w:val="000702C4"/>
    <w:rsid w:val="000705DE"/>
    <w:rsid w:val="0007183A"/>
    <w:rsid w:val="000719F0"/>
    <w:rsid w:val="00073A73"/>
    <w:rsid w:val="0007403B"/>
    <w:rsid w:val="0007468B"/>
    <w:rsid w:val="0007479A"/>
    <w:rsid w:val="000810A6"/>
    <w:rsid w:val="0008196B"/>
    <w:rsid w:val="00081A50"/>
    <w:rsid w:val="00082774"/>
    <w:rsid w:val="00082F15"/>
    <w:rsid w:val="000853A3"/>
    <w:rsid w:val="0009307B"/>
    <w:rsid w:val="00094E2A"/>
    <w:rsid w:val="000955C9"/>
    <w:rsid w:val="00095E1A"/>
    <w:rsid w:val="000960DC"/>
    <w:rsid w:val="000976CB"/>
    <w:rsid w:val="000A0F7E"/>
    <w:rsid w:val="000A143D"/>
    <w:rsid w:val="000A23EC"/>
    <w:rsid w:val="000A294C"/>
    <w:rsid w:val="000A332A"/>
    <w:rsid w:val="000A347E"/>
    <w:rsid w:val="000A5041"/>
    <w:rsid w:val="000A567D"/>
    <w:rsid w:val="000A5AEF"/>
    <w:rsid w:val="000A7167"/>
    <w:rsid w:val="000B07BE"/>
    <w:rsid w:val="000B3269"/>
    <w:rsid w:val="000B4587"/>
    <w:rsid w:val="000B6E48"/>
    <w:rsid w:val="000C2520"/>
    <w:rsid w:val="000C3D37"/>
    <w:rsid w:val="000C54B8"/>
    <w:rsid w:val="000C5AB1"/>
    <w:rsid w:val="000C6D9E"/>
    <w:rsid w:val="000C6EC1"/>
    <w:rsid w:val="000D0660"/>
    <w:rsid w:val="000D165F"/>
    <w:rsid w:val="000D2EB8"/>
    <w:rsid w:val="000D38D7"/>
    <w:rsid w:val="000D3900"/>
    <w:rsid w:val="000D3EAB"/>
    <w:rsid w:val="000D5B37"/>
    <w:rsid w:val="000D742F"/>
    <w:rsid w:val="000E0C0C"/>
    <w:rsid w:val="000E2077"/>
    <w:rsid w:val="000E25E8"/>
    <w:rsid w:val="000E4220"/>
    <w:rsid w:val="000E4302"/>
    <w:rsid w:val="000E5462"/>
    <w:rsid w:val="000E7B06"/>
    <w:rsid w:val="000F3DE4"/>
    <w:rsid w:val="000F467E"/>
    <w:rsid w:val="000F47C8"/>
    <w:rsid w:val="000F5038"/>
    <w:rsid w:val="000F5A3C"/>
    <w:rsid w:val="000F5B79"/>
    <w:rsid w:val="000F6D47"/>
    <w:rsid w:val="00100A86"/>
    <w:rsid w:val="00101090"/>
    <w:rsid w:val="00102A00"/>
    <w:rsid w:val="00103ADE"/>
    <w:rsid w:val="00103CB1"/>
    <w:rsid w:val="00104C32"/>
    <w:rsid w:val="0010567A"/>
    <w:rsid w:val="0010600A"/>
    <w:rsid w:val="001078B6"/>
    <w:rsid w:val="00111216"/>
    <w:rsid w:val="00111778"/>
    <w:rsid w:val="001119A2"/>
    <w:rsid w:val="00111A2E"/>
    <w:rsid w:val="00113ADF"/>
    <w:rsid w:val="00113BFB"/>
    <w:rsid w:val="00117A0F"/>
    <w:rsid w:val="00117FF3"/>
    <w:rsid w:val="00120081"/>
    <w:rsid w:val="00121437"/>
    <w:rsid w:val="001233AC"/>
    <w:rsid w:val="001262A0"/>
    <w:rsid w:val="00126CED"/>
    <w:rsid w:val="0013197A"/>
    <w:rsid w:val="00131FF6"/>
    <w:rsid w:val="001426FF"/>
    <w:rsid w:val="0014287C"/>
    <w:rsid w:val="00142AD7"/>
    <w:rsid w:val="001503B9"/>
    <w:rsid w:val="0015078E"/>
    <w:rsid w:val="00154863"/>
    <w:rsid w:val="00160D3B"/>
    <w:rsid w:val="00160F4B"/>
    <w:rsid w:val="001625E3"/>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5D2"/>
    <w:rsid w:val="0017484E"/>
    <w:rsid w:val="00176159"/>
    <w:rsid w:val="001762B4"/>
    <w:rsid w:val="00177130"/>
    <w:rsid w:val="00177599"/>
    <w:rsid w:val="00180DDF"/>
    <w:rsid w:val="00181126"/>
    <w:rsid w:val="00182893"/>
    <w:rsid w:val="001834ED"/>
    <w:rsid w:val="00183722"/>
    <w:rsid w:val="0018527B"/>
    <w:rsid w:val="001864E3"/>
    <w:rsid w:val="001867A6"/>
    <w:rsid w:val="001914B2"/>
    <w:rsid w:val="001928FE"/>
    <w:rsid w:val="001934FA"/>
    <w:rsid w:val="00193853"/>
    <w:rsid w:val="00193A2D"/>
    <w:rsid w:val="00195BC7"/>
    <w:rsid w:val="00196905"/>
    <w:rsid w:val="00197D0F"/>
    <w:rsid w:val="00197EF0"/>
    <w:rsid w:val="001A00C2"/>
    <w:rsid w:val="001A2358"/>
    <w:rsid w:val="001A2D44"/>
    <w:rsid w:val="001A35EA"/>
    <w:rsid w:val="001A5D13"/>
    <w:rsid w:val="001A7ED9"/>
    <w:rsid w:val="001B0A65"/>
    <w:rsid w:val="001B0D23"/>
    <w:rsid w:val="001B1F99"/>
    <w:rsid w:val="001B2546"/>
    <w:rsid w:val="001B2F1B"/>
    <w:rsid w:val="001B3258"/>
    <w:rsid w:val="001B342D"/>
    <w:rsid w:val="001B4CAB"/>
    <w:rsid w:val="001B503A"/>
    <w:rsid w:val="001B55A8"/>
    <w:rsid w:val="001B7FDD"/>
    <w:rsid w:val="001C1E78"/>
    <w:rsid w:val="001C285E"/>
    <w:rsid w:val="001C372D"/>
    <w:rsid w:val="001C4CD5"/>
    <w:rsid w:val="001C5B88"/>
    <w:rsid w:val="001C68E8"/>
    <w:rsid w:val="001C6BE1"/>
    <w:rsid w:val="001C6DE1"/>
    <w:rsid w:val="001C7E59"/>
    <w:rsid w:val="001D2442"/>
    <w:rsid w:val="001D2C9F"/>
    <w:rsid w:val="001D3412"/>
    <w:rsid w:val="001D5374"/>
    <w:rsid w:val="001D5A48"/>
    <w:rsid w:val="001D5DE3"/>
    <w:rsid w:val="001D671B"/>
    <w:rsid w:val="001D747B"/>
    <w:rsid w:val="001E0A21"/>
    <w:rsid w:val="001E0A4F"/>
    <w:rsid w:val="001E30BD"/>
    <w:rsid w:val="001E36EC"/>
    <w:rsid w:val="001E3ACE"/>
    <w:rsid w:val="001E55BC"/>
    <w:rsid w:val="001E5935"/>
    <w:rsid w:val="001E76E5"/>
    <w:rsid w:val="001F0563"/>
    <w:rsid w:val="001F0902"/>
    <w:rsid w:val="001F1ED2"/>
    <w:rsid w:val="001F4047"/>
    <w:rsid w:val="001F4840"/>
    <w:rsid w:val="001F5A9F"/>
    <w:rsid w:val="001F5FAA"/>
    <w:rsid w:val="001F71EC"/>
    <w:rsid w:val="00200ED2"/>
    <w:rsid w:val="00203D4C"/>
    <w:rsid w:val="00204BB5"/>
    <w:rsid w:val="00206D02"/>
    <w:rsid w:val="0021053A"/>
    <w:rsid w:val="00210A62"/>
    <w:rsid w:val="00210BEA"/>
    <w:rsid w:val="00210D93"/>
    <w:rsid w:val="002119D3"/>
    <w:rsid w:val="00217FDA"/>
    <w:rsid w:val="002243A7"/>
    <w:rsid w:val="00225180"/>
    <w:rsid w:val="00226B2C"/>
    <w:rsid w:val="00226F6C"/>
    <w:rsid w:val="00230FC0"/>
    <w:rsid w:val="002340E2"/>
    <w:rsid w:val="00235F60"/>
    <w:rsid w:val="00236107"/>
    <w:rsid w:val="0023667F"/>
    <w:rsid w:val="002366DB"/>
    <w:rsid w:val="00236ABB"/>
    <w:rsid w:val="00236D71"/>
    <w:rsid w:val="00237A39"/>
    <w:rsid w:val="00237BA0"/>
    <w:rsid w:val="002400E9"/>
    <w:rsid w:val="00240627"/>
    <w:rsid w:val="00240F10"/>
    <w:rsid w:val="002411D5"/>
    <w:rsid w:val="00241A04"/>
    <w:rsid w:val="00242957"/>
    <w:rsid w:val="0024322B"/>
    <w:rsid w:val="002433E8"/>
    <w:rsid w:val="0024389D"/>
    <w:rsid w:val="002476CE"/>
    <w:rsid w:val="002476F8"/>
    <w:rsid w:val="0025003F"/>
    <w:rsid w:val="00252524"/>
    <w:rsid w:val="00254BAE"/>
    <w:rsid w:val="00254FBB"/>
    <w:rsid w:val="00255A93"/>
    <w:rsid w:val="0025650C"/>
    <w:rsid w:val="00260588"/>
    <w:rsid w:val="00261743"/>
    <w:rsid w:val="00262167"/>
    <w:rsid w:val="00262B5A"/>
    <w:rsid w:val="00263841"/>
    <w:rsid w:val="00263BB6"/>
    <w:rsid w:val="00264D6F"/>
    <w:rsid w:val="002652E7"/>
    <w:rsid w:val="00265616"/>
    <w:rsid w:val="00266231"/>
    <w:rsid w:val="00266DF3"/>
    <w:rsid w:val="00270706"/>
    <w:rsid w:val="00270896"/>
    <w:rsid w:val="00270DC8"/>
    <w:rsid w:val="00270EBE"/>
    <w:rsid w:val="0027112A"/>
    <w:rsid w:val="00271AB3"/>
    <w:rsid w:val="00272036"/>
    <w:rsid w:val="00272166"/>
    <w:rsid w:val="002728F5"/>
    <w:rsid w:val="00273E00"/>
    <w:rsid w:val="00274133"/>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43A5"/>
    <w:rsid w:val="002951B8"/>
    <w:rsid w:val="00295863"/>
    <w:rsid w:val="002A02DB"/>
    <w:rsid w:val="002A08DC"/>
    <w:rsid w:val="002A0D68"/>
    <w:rsid w:val="002A207C"/>
    <w:rsid w:val="002A24C0"/>
    <w:rsid w:val="002A4344"/>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0E6"/>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4A3D"/>
    <w:rsid w:val="0031537F"/>
    <w:rsid w:val="00315BB5"/>
    <w:rsid w:val="00316124"/>
    <w:rsid w:val="00316683"/>
    <w:rsid w:val="00316898"/>
    <w:rsid w:val="00316A65"/>
    <w:rsid w:val="0032194C"/>
    <w:rsid w:val="003229F2"/>
    <w:rsid w:val="00322CA6"/>
    <w:rsid w:val="00323B20"/>
    <w:rsid w:val="0032447A"/>
    <w:rsid w:val="003244D2"/>
    <w:rsid w:val="00324A0D"/>
    <w:rsid w:val="00325CDF"/>
    <w:rsid w:val="00326846"/>
    <w:rsid w:val="00326DF7"/>
    <w:rsid w:val="00330B06"/>
    <w:rsid w:val="00333851"/>
    <w:rsid w:val="003346F6"/>
    <w:rsid w:val="0033594A"/>
    <w:rsid w:val="00336572"/>
    <w:rsid w:val="00336AFB"/>
    <w:rsid w:val="003408C2"/>
    <w:rsid w:val="00340921"/>
    <w:rsid w:val="00340E8A"/>
    <w:rsid w:val="003412F7"/>
    <w:rsid w:val="0034273A"/>
    <w:rsid w:val="00344B93"/>
    <w:rsid w:val="00344C3D"/>
    <w:rsid w:val="00344D46"/>
    <w:rsid w:val="00345594"/>
    <w:rsid w:val="00346FFB"/>
    <w:rsid w:val="0035116D"/>
    <w:rsid w:val="003554D5"/>
    <w:rsid w:val="003602E7"/>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762E3"/>
    <w:rsid w:val="00376CFF"/>
    <w:rsid w:val="00380A46"/>
    <w:rsid w:val="00380C0E"/>
    <w:rsid w:val="00380F2E"/>
    <w:rsid w:val="003819CC"/>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1E5D"/>
    <w:rsid w:val="003B315A"/>
    <w:rsid w:val="003B4C93"/>
    <w:rsid w:val="003B4E2A"/>
    <w:rsid w:val="003B5C07"/>
    <w:rsid w:val="003B6085"/>
    <w:rsid w:val="003B6A36"/>
    <w:rsid w:val="003B6C1D"/>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3D8"/>
    <w:rsid w:val="003F0586"/>
    <w:rsid w:val="003F2B49"/>
    <w:rsid w:val="003F2B79"/>
    <w:rsid w:val="003F3D88"/>
    <w:rsid w:val="003F4466"/>
    <w:rsid w:val="003F5AB5"/>
    <w:rsid w:val="003F78E1"/>
    <w:rsid w:val="003F7C57"/>
    <w:rsid w:val="003F7D29"/>
    <w:rsid w:val="00401C20"/>
    <w:rsid w:val="00401E5D"/>
    <w:rsid w:val="004022D3"/>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47B"/>
    <w:rsid w:val="00426ADA"/>
    <w:rsid w:val="00427346"/>
    <w:rsid w:val="00432275"/>
    <w:rsid w:val="00432EE5"/>
    <w:rsid w:val="00432F34"/>
    <w:rsid w:val="00433E38"/>
    <w:rsid w:val="00434DB7"/>
    <w:rsid w:val="004350CA"/>
    <w:rsid w:val="00435CFE"/>
    <w:rsid w:val="00440B3D"/>
    <w:rsid w:val="0044255D"/>
    <w:rsid w:val="00444024"/>
    <w:rsid w:val="00444612"/>
    <w:rsid w:val="00444AF9"/>
    <w:rsid w:val="0044536C"/>
    <w:rsid w:val="004457BE"/>
    <w:rsid w:val="004506B5"/>
    <w:rsid w:val="00451CEC"/>
    <w:rsid w:val="004524E4"/>
    <w:rsid w:val="00452C86"/>
    <w:rsid w:val="004539F3"/>
    <w:rsid w:val="00453CB2"/>
    <w:rsid w:val="004548E5"/>
    <w:rsid w:val="0045593B"/>
    <w:rsid w:val="00455BDE"/>
    <w:rsid w:val="0045745B"/>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92E"/>
    <w:rsid w:val="00481EE6"/>
    <w:rsid w:val="00482677"/>
    <w:rsid w:val="004826D6"/>
    <w:rsid w:val="00482F5C"/>
    <w:rsid w:val="004837BC"/>
    <w:rsid w:val="00484DE6"/>
    <w:rsid w:val="00485125"/>
    <w:rsid w:val="00487F43"/>
    <w:rsid w:val="00490AC4"/>
    <w:rsid w:val="00491436"/>
    <w:rsid w:val="00492300"/>
    <w:rsid w:val="004927B2"/>
    <w:rsid w:val="004930AD"/>
    <w:rsid w:val="00493BCA"/>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217D"/>
    <w:rsid w:val="004B40A0"/>
    <w:rsid w:val="004B471B"/>
    <w:rsid w:val="004B4AE7"/>
    <w:rsid w:val="004B4EE8"/>
    <w:rsid w:val="004C0151"/>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168B"/>
    <w:rsid w:val="005123E7"/>
    <w:rsid w:val="00514E48"/>
    <w:rsid w:val="00515652"/>
    <w:rsid w:val="00515D58"/>
    <w:rsid w:val="00517974"/>
    <w:rsid w:val="0052056A"/>
    <w:rsid w:val="005209AA"/>
    <w:rsid w:val="0052104C"/>
    <w:rsid w:val="0052225A"/>
    <w:rsid w:val="005243CA"/>
    <w:rsid w:val="00527961"/>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47388"/>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46F"/>
    <w:rsid w:val="00576B29"/>
    <w:rsid w:val="005771F1"/>
    <w:rsid w:val="005773A6"/>
    <w:rsid w:val="00577B69"/>
    <w:rsid w:val="00580D90"/>
    <w:rsid w:val="00581999"/>
    <w:rsid w:val="005819E2"/>
    <w:rsid w:val="00582A9B"/>
    <w:rsid w:val="00583413"/>
    <w:rsid w:val="005845B9"/>
    <w:rsid w:val="00585EA3"/>
    <w:rsid w:val="005878D9"/>
    <w:rsid w:val="00587FA8"/>
    <w:rsid w:val="00590B4B"/>
    <w:rsid w:val="005924D4"/>
    <w:rsid w:val="00593598"/>
    <w:rsid w:val="00593BCC"/>
    <w:rsid w:val="00594314"/>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3EA3"/>
    <w:rsid w:val="005C43DF"/>
    <w:rsid w:val="005C550C"/>
    <w:rsid w:val="005C6DA6"/>
    <w:rsid w:val="005D1DB7"/>
    <w:rsid w:val="005D2AE1"/>
    <w:rsid w:val="005D2FF3"/>
    <w:rsid w:val="005D3AEA"/>
    <w:rsid w:val="005D3C88"/>
    <w:rsid w:val="005D741D"/>
    <w:rsid w:val="005E0C7E"/>
    <w:rsid w:val="005E137F"/>
    <w:rsid w:val="005E3AE6"/>
    <w:rsid w:val="005E3BD2"/>
    <w:rsid w:val="005E493C"/>
    <w:rsid w:val="005E565E"/>
    <w:rsid w:val="005E5FC0"/>
    <w:rsid w:val="005E63EE"/>
    <w:rsid w:val="005F076C"/>
    <w:rsid w:val="005F23D9"/>
    <w:rsid w:val="005F2934"/>
    <w:rsid w:val="005F2BD8"/>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BE2"/>
    <w:rsid w:val="0062066D"/>
    <w:rsid w:val="00621038"/>
    <w:rsid w:val="006220B2"/>
    <w:rsid w:val="0062366A"/>
    <w:rsid w:val="00623ECF"/>
    <w:rsid w:val="00624493"/>
    <w:rsid w:val="00627B5B"/>
    <w:rsid w:val="00630938"/>
    <w:rsid w:val="00630C4E"/>
    <w:rsid w:val="00630CA2"/>
    <w:rsid w:val="006311CB"/>
    <w:rsid w:val="00636051"/>
    <w:rsid w:val="0063728C"/>
    <w:rsid w:val="00640046"/>
    <w:rsid w:val="00642244"/>
    <w:rsid w:val="00644A66"/>
    <w:rsid w:val="00644E99"/>
    <w:rsid w:val="00645CFF"/>
    <w:rsid w:val="00645E6C"/>
    <w:rsid w:val="00647C8D"/>
    <w:rsid w:val="00652DF8"/>
    <w:rsid w:val="0065324E"/>
    <w:rsid w:val="00653C8F"/>
    <w:rsid w:val="00654B24"/>
    <w:rsid w:val="006560A3"/>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885"/>
    <w:rsid w:val="00670B81"/>
    <w:rsid w:val="006719D8"/>
    <w:rsid w:val="00673065"/>
    <w:rsid w:val="00673466"/>
    <w:rsid w:val="006765F4"/>
    <w:rsid w:val="00676C41"/>
    <w:rsid w:val="0067751A"/>
    <w:rsid w:val="00681974"/>
    <w:rsid w:val="0068199C"/>
    <w:rsid w:val="006823D6"/>
    <w:rsid w:val="00687AB3"/>
    <w:rsid w:val="00690009"/>
    <w:rsid w:val="006903F8"/>
    <w:rsid w:val="00692E6D"/>
    <w:rsid w:val="00693766"/>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0BA"/>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5ADA"/>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862"/>
    <w:rsid w:val="00710A42"/>
    <w:rsid w:val="00710F95"/>
    <w:rsid w:val="007110CD"/>
    <w:rsid w:val="007150E5"/>
    <w:rsid w:val="00715BAC"/>
    <w:rsid w:val="00716A2E"/>
    <w:rsid w:val="00720138"/>
    <w:rsid w:val="007214EE"/>
    <w:rsid w:val="00721528"/>
    <w:rsid w:val="007235CA"/>
    <w:rsid w:val="00725F9E"/>
    <w:rsid w:val="007263F4"/>
    <w:rsid w:val="00726897"/>
    <w:rsid w:val="0072731A"/>
    <w:rsid w:val="007300AF"/>
    <w:rsid w:val="00730141"/>
    <w:rsid w:val="0073041C"/>
    <w:rsid w:val="00730930"/>
    <w:rsid w:val="007309C4"/>
    <w:rsid w:val="00732C89"/>
    <w:rsid w:val="0073309A"/>
    <w:rsid w:val="0073503B"/>
    <w:rsid w:val="00735286"/>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3D3A"/>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6EC3"/>
    <w:rsid w:val="007C7199"/>
    <w:rsid w:val="007C78D8"/>
    <w:rsid w:val="007C7B4F"/>
    <w:rsid w:val="007C7D65"/>
    <w:rsid w:val="007D2656"/>
    <w:rsid w:val="007D31C9"/>
    <w:rsid w:val="007D3C0A"/>
    <w:rsid w:val="007D48EB"/>
    <w:rsid w:val="007D7058"/>
    <w:rsid w:val="007D78B4"/>
    <w:rsid w:val="007D7BB8"/>
    <w:rsid w:val="007E1B33"/>
    <w:rsid w:val="007E1E82"/>
    <w:rsid w:val="007E39EA"/>
    <w:rsid w:val="007E3A09"/>
    <w:rsid w:val="007E65A8"/>
    <w:rsid w:val="007E7C11"/>
    <w:rsid w:val="007E7D96"/>
    <w:rsid w:val="007F1747"/>
    <w:rsid w:val="007F7601"/>
    <w:rsid w:val="007F7A3C"/>
    <w:rsid w:val="008008E9"/>
    <w:rsid w:val="00801E80"/>
    <w:rsid w:val="00801EBD"/>
    <w:rsid w:val="008021B8"/>
    <w:rsid w:val="008045E1"/>
    <w:rsid w:val="008064FF"/>
    <w:rsid w:val="00806DB1"/>
    <w:rsid w:val="008070BB"/>
    <w:rsid w:val="0080729C"/>
    <w:rsid w:val="0080735E"/>
    <w:rsid w:val="008075B1"/>
    <w:rsid w:val="00807907"/>
    <w:rsid w:val="00807A2E"/>
    <w:rsid w:val="008104BE"/>
    <w:rsid w:val="00810DB5"/>
    <w:rsid w:val="00814307"/>
    <w:rsid w:val="0081626A"/>
    <w:rsid w:val="00816457"/>
    <w:rsid w:val="00816BFD"/>
    <w:rsid w:val="00817751"/>
    <w:rsid w:val="00821516"/>
    <w:rsid w:val="00821702"/>
    <w:rsid w:val="008221D5"/>
    <w:rsid w:val="0082272C"/>
    <w:rsid w:val="00823037"/>
    <w:rsid w:val="008239BE"/>
    <w:rsid w:val="00824B8A"/>
    <w:rsid w:val="00825639"/>
    <w:rsid w:val="00825F7D"/>
    <w:rsid w:val="008268CB"/>
    <w:rsid w:val="00827AE8"/>
    <w:rsid w:val="00833BA6"/>
    <w:rsid w:val="00833CD1"/>
    <w:rsid w:val="0083582F"/>
    <w:rsid w:val="008367EC"/>
    <w:rsid w:val="00840022"/>
    <w:rsid w:val="00842133"/>
    <w:rsid w:val="0084245E"/>
    <w:rsid w:val="00843E38"/>
    <w:rsid w:val="008454D9"/>
    <w:rsid w:val="00845DCA"/>
    <w:rsid w:val="00846F8E"/>
    <w:rsid w:val="00847784"/>
    <w:rsid w:val="00847A85"/>
    <w:rsid w:val="00847CA5"/>
    <w:rsid w:val="00852187"/>
    <w:rsid w:val="008522D2"/>
    <w:rsid w:val="008526B9"/>
    <w:rsid w:val="0085389F"/>
    <w:rsid w:val="008543E4"/>
    <w:rsid w:val="00855208"/>
    <w:rsid w:val="008562E5"/>
    <w:rsid w:val="00856965"/>
    <w:rsid w:val="0085760F"/>
    <w:rsid w:val="00857B91"/>
    <w:rsid w:val="00860466"/>
    <w:rsid w:val="00863786"/>
    <w:rsid w:val="008644D1"/>
    <w:rsid w:val="00864D81"/>
    <w:rsid w:val="00865B6B"/>
    <w:rsid w:val="00865D30"/>
    <w:rsid w:val="00866DFC"/>
    <w:rsid w:val="0086765C"/>
    <w:rsid w:val="0087055E"/>
    <w:rsid w:val="00871032"/>
    <w:rsid w:val="0087190C"/>
    <w:rsid w:val="00871B3D"/>
    <w:rsid w:val="00871F5E"/>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197C"/>
    <w:rsid w:val="008A2E01"/>
    <w:rsid w:val="008A3147"/>
    <w:rsid w:val="008A59DB"/>
    <w:rsid w:val="008A66A4"/>
    <w:rsid w:val="008A6D0C"/>
    <w:rsid w:val="008A7129"/>
    <w:rsid w:val="008A735C"/>
    <w:rsid w:val="008A77D1"/>
    <w:rsid w:val="008B158D"/>
    <w:rsid w:val="008B269E"/>
    <w:rsid w:val="008B3011"/>
    <w:rsid w:val="008B3A85"/>
    <w:rsid w:val="008B43B1"/>
    <w:rsid w:val="008C08E7"/>
    <w:rsid w:val="008C19D6"/>
    <w:rsid w:val="008C2516"/>
    <w:rsid w:val="008C289B"/>
    <w:rsid w:val="008C2B76"/>
    <w:rsid w:val="008C48CE"/>
    <w:rsid w:val="008C5B90"/>
    <w:rsid w:val="008C6523"/>
    <w:rsid w:val="008C6FD4"/>
    <w:rsid w:val="008C76D3"/>
    <w:rsid w:val="008C7CA4"/>
    <w:rsid w:val="008C7F99"/>
    <w:rsid w:val="008D00A8"/>
    <w:rsid w:val="008D0397"/>
    <w:rsid w:val="008D19E7"/>
    <w:rsid w:val="008D1BFF"/>
    <w:rsid w:val="008D2D68"/>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46DD"/>
    <w:rsid w:val="0091573B"/>
    <w:rsid w:val="0091676D"/>
    <w:rsid w:val="00916849"/>
    <w:rsid w:val="009202CE"/>
    <w:rsid w:val="009207C4"/>
    <w:rsid w:val="009218B9"/>
    <w:rsid w:val="0092223F"/>
    <w:rsid w:val="009226CC"/>
    <w:rsid w:val="009235DE"/>
    <w:rsid w:val="009244D7"/>
    <w:rsid w:val="00925DEE"/>
    <w:rsid w:val="00925F78"/>
    <w:rsid w:val="009301A3"/>
    <w:rsid w:val="00930209"/>
    <w:rsid w:val="009309F3"/>
    <w:rsid w:val="00931287"/>
    <w:rsid w:val="00933DDB"/>
    <w:rsid w:val="00934B9B"/>
    <w:rsid w:val="00935396"/>
    <w:rsid w:val="00944120"/>
    <w:rsid w:val="00944354"/>
    <w:rsid w:val="00944502"/>
    <w:rsid w:val="00947837"/>
    <w:rsid w:val="00947D88"/>
    <w:rsid w:val="00950120"/>
    <w:rsid w:val="009549B3"/>
    <w:rsid w:val="00957332"/>
    <w:rsid w:val="00961D9A"/>
    <w:rsid w:val="00961E73"/>
    <w:rsid w:val="00963433"/>
    <w:rsid w:val="0096687D"/>
    <w:rsid w:val="00966E67"/>
    <w:rsid w:val="00967E84"/>
    <w:rsid w:val="00970EBA"/>
    <w:rsid w:val="00971B4D"/>
    <w:rsid w:val="009722B1"/>
    <w:rsid w:val="00974AB2"/>
    <w:rsid w:val="00975AE5"/>
    <w:rsid w:val="00975C13"/>
    <w:rsid w:val="009776B7"/>
    <w:rsid w:val="009807D8"/>
    <w:rsid w:val="00980C12"/>
    <w:rsid w:val="00980EB7"/>
    <w:rsid w:val="0098147A"/>
    <w:rsid w:val="00981CE6"/>
    <w:rsid w:val="00982B8C"/>
    <w:rsid w:val="00983D3A"/>
    <w:rsid w:val="00990D31"/>
    <w:rsid w:val="00991FFA"/>
    <w:rsid w:val="009925B2"/>
    <w:rsid w:val="009927C4"/>
    <w:rsid w:val="0099506E"/>
    <w:rsid w:val="00996DA6"/>
    <w:rsid w:val="009A185C"/>
    <w:rsid w:val="009A1D8D"/>
    <w:rsid w:val="009A3068"/>
    <w:rsid w:val="009A50F6"/>
    <w:rsid w:val="009A5B9E"/>
    <w:rsid w:val="009A7776"/>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2241"/>
    <w:rsid w:val="009F259F"/>
    <w:rsid w:val="009F2B62"/>
    <w:rsid w:val="009F59B6"/>
    <w:rsid w:val="009F76BD"/>
    <w:rsid w:val="00A00828"/>
    <w:rsid w:val="00A01A88"/>
    <w:rsid w:val="00A01DCC"/>
    <w:rsid w:val="00A02785"/>
    <w:rsid w:val="00A038DF"/>
    <w:rsid w:val="00A054D0"/>
    <w:rsid w:val="00A054F7"/>
    <w:rsid w:val="00A05614"/>
    <w:rsid w:val="00A05FD6"/>
    <w:rsid w:val="00A06C7B"/>
    <w:rsid w:val="00A101C4"/>
    <w:rsid w:val="00A12431"/>
    <w:rsid w:val="00A12A84"/>
    <w:rsid w:val="00A132E1"/>
    <w:rsid w:val="00A1469B"/>
    <w:rsid w:val="00A14941"/>
    <w:rsid w:val="00A14EDF"/>
    <w:rsid w:val="00A1770F"/>
    <w:rsid w:val="00A20432"/>
    <w:rsid w:val="00A21FF3"/>
    <w:rsid w:val="00A232D1"/>
    <w:rsid w:val="00A23E43"/>
    <w:rsid w:val="00A24610"/>
    <w:rsid w:val="00A25096"/>
    <w:rsid w:val="00A266FD"/>
    <w:rsid w:val="00A30E11"/>
    <w:rsid w:val="00A35278"/>
    <w:rsid w:val="00A35FE3"/>
    <w:rsid w:val="00A37E8D"/>
    <w:rsid w:val="00A401A0"/>
    <w:rsid w:val="00A40641"/>
    <w:rsid w:val="00A411F1"/>
    <w:rsid w:val="00A414B9"/>
    <w:rsid w:val="00A4195F"/>
    <w:rsid w:val="00A41DFD"/>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579F8"/>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2EDA"/>
    <w:rsid w:val="00A83463"/>
    <w:rsid w:val="00A835B1"/>
    <w:rsid w:val="00A83917"/>
    <w:rsid w:val="00A843ED"/>
    <w:rsid w:val="00A84CAE"/>
    <w:rsid w:val="00A92EC5"/>
    <w:rsid w:val="00A94029"/>
    <w:rsid w:val="00A96A52"/>
    <w:rsid w:val="00A96A9C"/>
    <w:rsid w:val="00A979AB"/>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C54A8"/>
    <w:rsid w:val="00AC6FE4"/>
    <w:rsid w:val="00AD01F9"/>
    <w:rsid w:val="00AD031B"/>
    <w:rsid w:val="00AD046B"/>
    <w:rsid w:val="00AD097E"/>
    <w:rsid w:val="00AD09D9"/>
    <w:rsid w:val="00AD0A0C"/>
    <w:rsid w:val="00AD1031"/>
    <w:rsid w:val="00AD19AC"/>
    <w:rsid w:val="00AD1EC9"/>
    <w:rsid w:val="00AD249A"/>
    <w:rsid w:val="00AD2BC5"/>
    <w:rsid w:val="00AD2D15"/>
    <w:rsid w:val="00AD44F8"/>
    <w:rsid w:val="00AD4B8A"/>
    <w:rsid w:val="00AD4EDB"/>
    <w:rsid w:val="00AD5321"/>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0427"/>
    <w:rsid w:val="00B015B5"/>
    <w:rsid w:val="00B02336"/>
    <w:rsid w:val="00B02DCA"/>
    <w:rsid w:val="00B03D81"/>
    <w:rsid w:val="00B03FCC"/>
    <w:rsid w:val="00B047CE"/>
    <w:rsid w:val="00B10307"/>
    <w:rsid w:val="00B117D2"/>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0BDE"/>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6C7A"/>
    <w:rsid w:val="00B67372"/>
    <w:rsid w:val="00B67769"/>
    <w:rsid w:val="00B67D24"/>
    <w:rsid w:val="00B70910"/>
    <w:rsid w:val="00B70A9A"/>
    <w:rsid w:val="00B715C6"/>
    <w:rsid w:val="00B71D9A"/>
    <w:rsid w:val="00B722D2"/>
    <w:rsid w:val="00B7258C"/>
    <w:rsid w:val="00B742FD"/>
    <w:rsid w:val="00B7554F"/>
    <w:rsid w:val="00B7618F"/>
    <w:rsid w:val="00B761CF"/>
    <w:rsid w:val="00B7644C"/>
    <w:rsid w:val="00B76518"/>
    <w:rsid w:val="00B775DD"/>
    <w:rsid w:val="00B7761F"/>
    <w:rsid w:val="00B80C43"/>
    <w:rsid w:val="00B816D4"/>
    <w:rsid w:val="00B855B7"/>
    <w:rsid w:val="00B86E0C"/>
    <w:rsid w:val="00B9243A"/>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0B05"/>
    <w:rsid w:val="00C21599"/>
    <w:rsid w:val="00C216F3"/>
    <w:rsid w:val="00C21B45"/>
    <w:rsid w:val="00C221B7"/>
    <w:rsid w:val="00C22223"/>
    <w:rsid w:val="00C22EB3"/>
    <w:rsid w:val="00C238FC"/>
    <w:rsid w:val="00C24E88"/>
    <w:rsid w:val="00C2537A"/>
    <w:rsid w:val="00C260BA"/>
    <w:rsid w:val="00C277BC"/>
    <w:rsid w:val="00C27857"/>
    <w:rsid w:val="00C304A7"/>
    <w:rsid w:val="00C3077B"/>
    <w:rsid w:val="00C31116"/>
    <w:rsid w:val="00C33311"/>
    <w:rsid w:val="00C33347"/>
    <w:rsid w:val="00C335A4"/>
    <w:rsid w:val="00C335E3"/>
    <w:rsid w:val="00C33B61"/>
    <w:rsid w:val="00C3657C"/>
    <w:rsid w:val="00C372BE"/>
    <w:rsid w:val="00C37325"/>
    <w:rsid w:val="00C375B0"/>
    <w:rsid w:val="00C37FF9"/>
    <w:rsid w:val="00C40E3F"/>
    <w:rsid w:val="00C45C6E"/>
    <w:rsid w:val="00C46122"/>
    <w:rsid w:val="00C46A05"/>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A76AD"/>
    <w:rsid w:val="00CB03B4"/>
    <w:rsid w:val="00CB0988"/>
    <w:rsid w:val="00CB18BE"/>
    <w:rsid w:val="00CB1EA9"/>
    <w:rsid w:val="00CB1F5E"/>
    <w:rsid w:val="00CB24AC"/>
    <w:rsid w:val="00CB269A"/>
    <w:rsid w:val="00CB5336"/>
    <w:rsid w:val="00CB5A85"/>
    <w:rsid w:val="00CB6772"/>
    <w:rsid w:val="00CB694E"/>
    <w:rsid w:val="00CB75DA"/>
    <w:rsid w:val="00CB7EA8"/>
    <w:rsid w:val="00CC0A1B"/>
    <w:rsid w:val="00CC0D72"/>
    <w:rsid w:val="00CC150E"/>
    <w:rsid w:val="00CC178D"/>
    <w:rsid w:val="00CC2D71"/>
    <w:rsid w:val="00CC364A"/>
    <w:rsid w:val="00CC5656"/>
    <w:rsid w:val="00CC60A1"/>
    <w:rsid w:val="00CC703C"/>
    <w:rsid w:val="00CC71DB"/>
    <w:rsid w:val="00CC7776"/>
    <w:rsid w:val="00CC7D34"/>
    <w:rsid w:val="00CD025A"/>
    <w:rsid w:val="00CD0328"/>
    <w:rsid w:val="00CD0D74"/>
    <w:rsid w:val="00CD2394"/>
    <w:rsid w:val="00CD2574"/>
    <w:rsid w:val="00CD27FA"/>
    <w:rsid w:val="00CD2B32"/>
    <w:rsid w:val="00CD3442"/>
    <w:rsid w:val="00CD5CF9"/>
    <w:rsid w:val="00CD6B0F"/>
    <w:rsid w:val="00CD7F60"/>
    <w:rsid w:val="00CE0B85"/>
    <w:rsid w:val="00CE0F9B"/>
    <w:rsid w:val="00CE211A"/>
    <w:rsid w:val="00CE3227"/>
    <w:rsid w:val="00CE3285"/>
    <w:rsid w:val="00CE3E54"/>
    <w:rsid w:val="00CE40B2"/>
    <w:rsid w:val="00CE46CC"/>
    <w:rsid w:val="00CE49E0"/>
    <w:rsid w:val="00CE737B"/>
    <w:rsid w:val="00CF135D"/>
    <w:rsid w:val="00CF27B2"/>
    <w:rsid w:val="00CF5879"/>
    <w:rsid w:val="00CF6336"/>
    <w:rsid w:val="00D01222"/>
    <w:rsid w:val="00D01AF7"/>
    <w:rsid w:val="00D028E8"/>
    <w:rsid w:val="00D02FB9"/>
    <w:rsid w:val="00D055A9"/>
    <w:rsid w:val="00D05751"/>
    <w:rsid w:val="00D065AB"/>
    <w:rsid w:val="00D10410"/>
    <w:rsid w:val="00D10E7E"/>
    <w:rsid w:val="00D11497"/>
    <w:rsid w:val="00D1274B"/>
    <w:rsid w:val="00D13512"/>
    <w:rsid w:val="00D14E01"/>
    <w:rsid w:val="00D156C1"/>
    <w:rsid w:val="00D16933"/>
    <w:rsid w:val="00D17D91"/>
    <w:rsid w:val="00D2087D"/>
    <w:rsid w:val="00D20EA6"/>
    <w:rsid w:val="00D221AB"/>
    <w:rsid w:val="00D22D1B"/>
    <w:rsid w:val="00D25489"/>
    <w:rsid w:val="00D25F53"/>
    <w:rsid w:val="00D262ED"/>
    <w:rsid w:val="00D26843"/>
    <w:rsid w:val="00D27155"/>
    <w:rsid w:val="00D31321"/>
    <w:rsid w:val="00D32E52"/>
    <w:rsid w:val="00D33D30"/>
    <w:rsid w:val="00D34AF6"/>
    <w:rsid w:val="00D3575D"/>
    <w:rsid w:val="00D37F33"/>
    <w:rsid w:val="00D40312"/>
    <w:rsid w:val="00D42225"/>
    <w:rsid w:val="00D424B4"/>
    <w:rsid w:val="00D4328F"/>
    <w:rsid w:val="00D4343E"/>
    <w:rsid w:val="00D44866"/>
    <w:rsid w:val="00D451D8"/>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36E5"/>
    <w:rsid w:val="00D8638D"/>
    <w:rsid w:val="00D8657E"/>
    <w:rsid w:val="00D86F3A"/>
    <w:rsid w:val="00D87709"/>
    <w:rsid w:val="00D87827"/>
    <w:rsid w:val="00D907A2"/>
    <w:rsid w:val="00D914D0"/>
    <w:rsid w:val="00D91939"/>
    <w:rsid w:val="00D922AA"/>
    <w:rsid w:val="00D92768"/>
    <w:rsid w:val="00D94904"/>
    <w:rsid w:val="00D94B2A"/>
    <w:rsid w:val="00D9506A"/>
    <w:rsid w:val="00D97E40"/>
    <w:rsid w:val="00DA1210"/>
    <w:rsid w:val="00DA123B"/>
    <w:rsid w:val="00DA1DEA"/>
    <w:rsid w:val="00DA1F47"/>
    <w:rsid w:val="00DA2E64"/>
    <w:rsid w:val="00DA39C4"/>
    <w:rsid w:val="00DA418B"/>
    <w:rsid w:val="00DA4782"/>
    <w:rsid w:val="00DA7764"/>
    <w:rsid w:val="00DA77A0"/>
    <w:rsid w:val="00DB0A62"/>
    <w:rsid w:val="00DB1A73"/>
    <w:rsid w:val="00DB217B"/>
    <w:rsid w:val="00DB2A9F"/>
    <w:rsid w:val="00DB2C84"/>
    <w:rsid w:val="00DB3874"/>
    <w:rsid w:val="00DB4518"/>
    <w:rsid w:val="00DB6E55"/>
    <w:rsid w:val="00DB7EBE"/>
    <w:rsid w:val="00DC062B"/>
    <w:rsid w:val="00DC1226"/>
    <w:rsid w:val="00DC183B"/>
    <w:rsid w:val="00DC1E01"/>
    <w:rsid w:val="00DC3B04"/>
    <w:rsid w:val="00DC43DE"/>
    <w:rsid w:val="00DC5022"/>
    <w:rsid w:val="00DC742F"/>
    <w:rsid w:val="00DD0E48"/>
    <w:rsid w:val="00DD126C"/>
    <w:rsid w:val="00DD252F"/>
    <w:rsid w:val="00DD3985"/>
    <w:rsid w:val="00DD59DA"/>
    <w:rsid w:val="00DE01B3"/>
    <w:rsid w:val="00DE0877"/>
    <w:rsid w:val="00DE1D32"/>
    <w:rsid w:val="00DE28F8"/>
    <w:rsid w:val="00DE67FB"/>
    <w:rsid w:val="00DE7582"/>
    <w:rsid w:val="00DF1DF0"/>
    <w:rsid w:val="00DF3963"/>
    <w:rsid w:val="00DF3ABF"/>
    <w:rsid w:val="00DF4C9A"/>
    <w:rsid w:val="00DF5142"/>
    <w:rsid w:val="00DF5D15"/>
    <w:rsid w:val="00DF6F1F"/>
    <w:rsid w:val="00DF7DF9"/>
    <w:rsid w:val="00E001DE"/>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16E"/>
    <w:rsid w:val="00E34B3D"/>
    <w:rsid w:val="00E34C1E"/>
    <w:rsid w:val="00E355EE"/>
    <w:rsid w:val="00E35AC3"/>
    <w:rsid w:val="00E36298"/>
    <w:rsid w:val="00E3776F"/>
    <w:rsid w:val="00E40FCC"/>
    <w:rsid w:val="00E42945"/>
    <w:rsid w:val="00E43854"/>
    <w:rsid w:val="00E46627"/>
    <w:rsid w:val="00E47321"/>
    <w:rsid w:val="00E47996"/>
    <w:rsid w:val="00E501E7"/>
    <w:rsid w:val="00E5038A"/>
    <w:rsid w:val="00E51189"/>
    <w:rsid w:val="00E511B3"/>
    <w:rsid w:val="00E5221E"/>
    <w:rsid w:val="00E52389"/>
    <w:rsid w:val="00E53397"/>
    <w:rsid w:val="00E57C71"/>
    <w:rsid w:val="00E57EA4"/>
    <w:rsid w:val="00E60D3E"/>
    <w:rsid w:val="00E6182A"/>
    <w:rsid w:val="00E64AAE"/>
    <w:rsid w:val="00E65AC4"/>
    <w:rsid w:val="00E66CC6"/>
    <w:rsid w:val="00E676EB"/>
    <w:rsid w:val="00E67E60"/>
    <w:rsid w:val="00E7049F"/>
    <w:rsid w:val="00E72CBD"/>
    <w:rsid w:val="00E73338"/>
    <w:rsid w:val="00E73851"/>
    <w:rsid w:val="00E73F72"/>
    <w:rsid w:val="00E755DC"/>
    <w:rsid w:val="00E75725"/>
    <w:rsid w:val="00E77540"/>
    <w:rsid w:val="00E8012C"/>
    <w:rsid w:val="00E8461F"/>
    <w:rsid w:val="00E84715"/>
    <w:rsid w:val="00E872B3"/>
    <w:rsid w:val="00E87C5C"/>
    <w:rsid w:val="00E90BD8"/>
    <w:rsid w:val="00E920E8"/>
    <w:rsid w:val="00E92776"/>
    <w:rsid w:val="00E93801"/>
    <w:rsid w:val="00E941D1"/>
    <w:rsid w:val="00E944D7"/>
    <w:rsid w:val="00E94A37"/>
    <w:rsid w:val="00E9543F"/>
    <w:rsid w:val="00E95D9C"/>
    <w:rsid w:val="00E96E6E"/>
    <w:rsid w:val="00E97B20"/>
    <w:rsid w:val="00EA0AE1"/>
    <w:rsid w:val="00EA1C7E"/>
    <w:rsid w:val="00EA38D8"/>
    <w:rsid w:val="00EA4AAC"/>
    <w:rsid w:val="00EA4C84"/>
    <w:rsid w:val="00EA5553"/>
    <w:rsid w:val="00EA5D4B"/>
    <w:rsid w:val="00EA5FA5"/>
    <w:rsid w:val="00EA68FD"/>
    <w:rsid w:val="00EA7986"/>
    <w:rsid w:val="00EB10D1"/>
    <w:rsid w:val="00EB1CE5"/>
    <w:rsid w:val="00EB4EB9"/>
    <w:rsid w:val="00EB75DF"/>
    <w:rsid w:val="00EC0C83"/>
    <w:rsid w:val="00EC3142"/>
    <w:rsid w:val="00EC317D"/>
    <w:rsid w:val="00EC3727"/>
    <w:rsid w:val="00EC513A"/>
    <w:rsid w:val="00EC589A"/>
    <w:rsid w:val="00EC5A0F"/>
    <w:rsid w:val="00EC74D6"/>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36DE"/>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A9F"/>
    <w:rsid w:val="00F17DAF"/>
    <w:rsid w:val="00F2027A"/>
    <w:rsid w:val="00F209E7"/>
    <w:rsid w:val="00F20ECA"/>
    <w:rsid w:val="00F219B3"/>
    <w:rsid w:val="00F22E03"/>
    <w:rsid w:val="00F240A9"/>
    <w:rsid w:val="00F2417D"/>
    <w:rsid w:val="00F252DC"/>
    <w:rsid w:val="00F25E8E"/>
    <w:rsid w:val="00F25F17"/>
    <w:rsid w:val="00F30F64"/>
    <w:rsid w:val="00F31C54"/>
    <w:rsid w:val="00F3201D"/>
    <w:rsid w:val="00F32A59"/>
    <w:rsid w:val="00F33925"/>
    <w:rsid w:val="00F33C5F"/>
    <w:rsid w:val="00F34071"/>
    <w:rsid w:val="00F347A3"/>
    <w:rsid w:val="00F34988"/>
    <w:rsid w:val="00F3538D"/>
    <w:rsid w:val="00F36A9E"/>
    <w:rsid w:val="00F37DC4"/>
    <w:rsid w:val="00F40419"/>
    <w:rsid w:val="00F407EE"/>
    <w:rsid w:val="00F41352"/>
    <w:rsid w:val="00F41872"/>
    <w:rsid w:val="00F42891"/>
    <w:rsid w:val="00F42EF7"/>
    <w:rsid w:val="00F43323"/>
    <w:rsid w:val="00F4394C"/>
    <w:rsid w:val="00F450D5"/>
    <w:rsid w:val="00F45516"/>
    <w:rsid w:val="00F47ABA"/>
    <w:rsid w:val="00F47D23"/>
    <w:rsid w:val="00F500D5"/>
    <w:rsid w:val="00F5101E"/>
    <w:rsid w:val="00F520AA"/>
    <w:rsid w:val="00F5277E"/>
    <w:rsid w:val="00F539C7"/>
    <w:rsid w:val="00F53B3B"/>
    <w:rsid w:val="00F543FF"/>
    <w:rsid w:val="00F54CAF"/>
    <w:rsid w:val="00F60A48"/>
    <w:rsid w:val="00F61426"/>
    <w:rsid w:val="00F62319"/>
    <w:rsid w:val="00F62CA2"/>
    <w:rsid w:val="00F62F0E"/>
    <w:rsid w:val="00F66DC0"/>
    <w:rsid w:val="00F671DB"/>
    <w:rsid w:val="00F67640"/>
    <w:rsid w:val="00F70294"/>
    <w:rsid w:val="00F71420"/>
    <w:rsid w:val="00F71CF8"/>
    <w:rsid w:val="00F71E37"/>
    <w:rsid w:val="00F72BE7"/>
    <w:rsid w:val="00F735D2"/>
    <w:rsid w:val="00F7382A"/>
    <w:rsid w:val="00F776F9"/>
    <w:rsid w:val="00F77C35"/>
    <w:rsid w:val="00F77F71"/>
    <w:rsid w:val="00F806FB"/>
    <w:rsid w:val="00F81057"/>
    <w:rsid w:val="00F81270"/>
    <w:rsid w:val="00F8128F"/>
    <w:rsid w:val="00F81795"/>
    <w:rsid w:val="00F8263C"/>
    <w:rsid w:val="00F82C7D"/>
    <w:rsid w:val="00F83C4D"/>
    <w:rsid w:val="00F842E8"/>
    <w:rsid w:val="00F84729"/>
    <w:rsid w:val="00F84BC8"/>
    <w:rsid w:val="00F84BCA"/>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978CE"/>
    <w:rsid w:val="00FA0F51"/>
    <w:rsid w:val="00FA3A72"/>
    <w:rsid w:val="00FA4789"/>
    <w:rsid w:val="00FA4A50"/>
    <w:rsid w:val="00FA4D13"/>
    <w:rsid w:val="00FA5D68"/>
    <w:rsid w:val="00FA716A"/>
    <w:rsid w:val="00FA7E64"/>
    <w:rsid w:val="00FB1425"/>
    <w:rsid w:val="00FB1668"/>
    <w:rsid w:val="00FB2313"/>
    <w:rsid w:val="00FB2DCD"/>
    <w:rsid w:val="00FB3671"/>
    <w:rsid w:val="00FB4D14"/>
    <w:rsid w:val="00FB5767"/>
    <w:rsid w:val="00FB6D3D"/>
    <w:rsid w:val="00FC057F"/>
    <w:rsid w:val="00FC1196"/>
    <w:rsid w:val="00FC136E"/>
    <w:rsid w:val="00FC17DF"/>
    <w:rsid w:val="00FC1D6F"/>
    <w:rsid w:val="00FC23EB"/>
    <w:rsid w:val="00FC394C"/>
    <w:rsid w:val="00FC4A05"/>
    <w:rsid w:val="00FC4B80"/>
    <w:rsid w:val="00FC5CD5"/>
    <w:rsid w:val="00FC7D8E"/>
    <w:rsid w:val="00FD1563"/>
    <w:rsid w:val="00FD1B41"/>
    <w:rsid w:val="00FD24FD"/>
    <w:rsid w:val="00FD2EBB"/>
    <w:rsid w:val="00FD41D8"/>
    <w:rsid w:val="00FD426A"/>
    <w:rsid w:val="00FD61AB"/>
    <w:rsid w:val="00FD65B7"/>
    <w:rsid w:val="00FE1160"/>
    <w:rsid w:val="00FE1782"/>
    <w:rsid w:val="00FE18FA"/>
    <w:rsid w:val="00FE19E0"/>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B1"/>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uiPriority w:val="9"/>
    <w:rsid w:val="00833BA6"/>
    <w:rPr>
      <w:b/>
      <w:sz w:val="24"/>
    </w:rPr>
  </w:style>
  <w:style w:type="character" w:customStyle="1" w:styleId="Balk3Char">
    <w:name w:val="Başlık 3 Char"/>
    <w:link w:val="Balk3"/>
    <w:uiPriority w:val="9"/>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uiPriority w:val="9"/>
    <w:rsid w:val="00833BA6"/>
    <w:rPr>
      <w:b/>
      <w:sz w:val="24"/>
    </w:rPr>
  </w:style>
  <w:style w:type="paragraph" w:styleId="GvdeMetniGirintisi">
    <w:name w:val="Body Text Indent"/>
    <w:basedOn w:val="Normal"/>
    <w:link w:val="GvdeMetniGirintisiChar"/>
    <w:rsid w:val="000C5AB1"/>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0C5AB1"/>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0C5AB1"/>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uiPriority w:val="9"/>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uiPriority w:val="9"/>
    <w:rsid w:val="00DC062B"/>
    <w:rPr>
      <w:sz w:val="24"/>
      <w:szCs w:val="24"/>
      <w:lang w:val="en-US" w:eastAsia="en-US"/>
    </w:rPr>
  </w:style>
  <w:style w:type="character" w:customStyle="1" w:styleId="Balk9Char">
    <w:name w:val="Başlık 9 Char"/>
    <w:link w:val="Balk9"/>
    <w:uiPriority w:val="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ormal110">
    <w:name w:val="Normal11"/>
    <w:rsid w:val="00C22EB3"/>
    <w:rPr>
      <w:rFonts w:ascii="TR Arial" w:hAnsi="TR Arial" w:hint="default"/>
      <w:sz w:val="24"/>
      <w:szCs w:val="24"/>
    </w:rPr>
  </w:style>
  <w:style w:type="paragraph" w:customStyle="1" w:styleId="GvdeMetni211">
    <w:name w:val="Gövde Metni 211"/>
    <w:basedOn w:val="Normal"/>
    <w:rsid w:val="00C22EB3"/>
    <w:rPr>
      <w:rFonts w:ascii="Arial" w:hAnsi="Arial"/>
      <w:i/>
      <w:color w:val="000000"/>
      <w:sz w:val="20"/>
      <w:szCs w:val="20"/>
      <w:lang w:val="tr-TR" w:eastAsia="tr-TR"/>
    </w:rPr>
  </w:style>
  <w:style w:type="paragraph" w:styleId="AklamaKonusu">
    <w:name w:val="annotation subject"/>
    <w:basedOn w:val="AklamaMetni"/>
    <w:next w:val="AklamaMetni"/>
    <w:link w:val="AklamaKonusuChar"/>
    <w:uiPriority w:val="99"/>
    <w:rsid w:val="00C22EB3"/>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uiPriority w:val="99"/>
    <w:rsid w:val="00C22EB3"/>
    <w:rPr>
      <w:rFonts w:ascii="Calibri" w:eastAsia="Calibri" w:hAnsi="Calibri"/>
      <w:b/>
      <w:bCs/>
      <w:lang w:val="en-US" w:eastAsia="en-US"/>
    </w:rPr>
  </w:style>
  <w:style w:type="paragraph" w:styleId="AralkYok">
    <w:name w:val="No Spacing"/>
    <w:uiPriority w:val="1"/>
    <w:qFormat/>
    <w:rsid w:val="002A434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69545452">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54503222">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99391371">
      <w:bodyDiv w:val="1"/>
      <w:marLeft w:val="0"/>
      <w:marRight w:val="0"/>
      <w:marTop w:val="0"/>
      <w:marBottom w:val="0"/>
      <w:divBdr>
        <w:top w:val="none" w:sz="0" w:space="0" w:color="auto"/>
        <w:left w:val="none" w:sz="0" w:space="0" w:color="auto"/>
        <w:bottom w:val="none" w:sz="0" w:space="0" w:color="auto"/>
        <w:right w:val="none" w:sz="0" w:space="0" w:color="auto"/>
      </w:divBdr>
      <w:divsChild>
        <w:div w:id="1471315761">
          <w:marLeft w:val="0"/>
          <w:marRight w:val="0"/>
          <w:marTop w:val="0"/>
          <w:marBottom w:val="0"/>
          <w:divBdr>
            <w:top w:val="none" w:sz="0" w:space="0" w:color="auto"/>
            <w:left w:val="none" w:sz="0" w:space="0" w:color="auto"/>
            <w:bottom w:val="none" w:sz="0" w:space="0" w:color="auto"/>
            <w:right w:val="none" w:sz="0" w:space="0" w:color="auto"/>
          </w:divBdr>
          <w:divsChild>
            <w:div w:id="1092048884">
              <w:marLeft w:val="0"/>
              <w:marRight w:val="0"/>
              <w:marTop w:val="0"/>
              <w:marBottom w:val="0"/>
              <w:divBdr>
                <w:top w:val="none" w:sz="0" w:space="0" w:color="auto"/>
                <w:left w:val="none" w:sz="0" w:space="0" w:color="auto"/>
                <w:bottom w:val="none" w:sz="0" w:space="0" w:color="auto"/>
                <w:right w:val="none" w:sz="0" w:space="0" w:color="auto"/>
              </w:divBdr>
              <w:divsChild>
                <w:div w:id="19947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61598216">
      <w:bodyDiv w:val="1"/>
      <w:marLeft w:val="0"/>
      <w:marRight w:val="0"/>
      <w:marTop w:val="0"/>
      <w:marBottom w:val="0"/>
      <w:divBdr>
        <w:top w:val="none" w:sz="0" w:space="0" w:color="auto"/>
        <w:left w:val="none" w:sz="0" w:space="0" w:color="auto"/>
        <w:bottom w:val="none" w:sz="0" w:space="0" w:color="auto"/>
        <w:right w:val="none" w:sz="0" w:space="0" w:color="auto"/>
      </w:divBdr>
      <w:divsChild>
        <w:div w:id="1601452535">
          <w:marLeft w:val="0"/>
          <w:marRight w:val="0"/>
          <w:marTop w:val="0"/>
          <w:marBottom w:val="0"/>
          <w:divBdr>
            <w:top w:val="none" w:sz="0" w:space="0" w:color="auto"/>
            <w:left w:val="none" w:sz="0" w:space="0" w:color="auto"/>
            <w:bottom w:val="none" w:sz="0" w:space="0" w:color="auto"/>
            <w:right w:val="none" w:sz="0" w:space="0" w:color="auto"/>
          </w:divBdr>
          <w:divsChild>
            <w:div w:id="629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67295611">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6429975">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05884054">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2668949">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1961534">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4598760">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smigazete.gov.tr/eskiler/2014/10/20141026-11-1.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F1BF-2109-43E4-BBCB-FE7A4715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5651</Words>
  <Characters>32212</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37788</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4</cp:revision>
  <cp:lastPrinted>2013-10-09T11:29:00Z</cp:lastPrinted>
  <dcterms:created xsi:type="dcterms:W3CDTF">2014-10-27T07:15:00Z</dcterms:created>
  <dcterms:modified xsi:type="dcterms:W3CDTF">2014-10-27T08:01:00Z</dcterms:modified>
</cp:coreProperties>
</file>